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ind w:firstLine="880" w:firstLineChars="200"/>
        <w:jc w:val="center"/>
        <w:rPr>
          <w:rFonts w:hint="default" w:ascii="Times New Roman" w:hAnsi="Times New Roman" w:eastAsia="华文中宋" w:cs="Times New Roman"/>
          <w:b w:val="0"/>
          <w:bCs w:val="0"/>
          <w:snapToGrid w:val="0"/>
          <w:color w:val="000000" w:themeColor="text1"/>
          <w:kern w:val="0"/>
          <w:sz w:val="44"/>
          <w:szCs w:val="44"/>
          <w:u w:val="none"/>
        </w:rPr>
      </w:pPr>
    </w:p>
    <w:p>
      <w:pPr>
        <w:spacing w:line="360" w:lineRule="auto"/>
        <w:jc w:val="center"/>
        <w:outlineLvl w:val="9"/>
        <w:rPr>
          <w:rFonts w:hint="default" w:ascii="Times New Roman" w:hAnsi="Times New Roman" w:eastAsia="华文中宋" w:cs="Times New Roman"/>
          <w:b w:val="0"/>
          <w:bCs w:val="0"/>
          <w:snapToGrid w:val="0"/>
          <w:color w:val="000000" w:themeColor="text1"/>
          <w:kern w:val="0"/>
          <w:sz w:val="84"/>
          <w:szCs w:val="32"/>
          <w:u w:val="none"/>
        </w:rPr>
      </w:pPr>
      <w:bookmarkStart w:id="0" w:name="_Toc22075"/>
      <w:bookmarkStart w:id="1" w:name="_Toc8519"/>
      <w:bookmarkStart w:id="2" w:name="_Toc5862"/>
      <w:bookmarkStart w:id="3" w:name="_Toc14372"/>
      <w:bookmarkStart w:id="4" w:name="_Toc17586"/>
      <w:bookmarkStart w:id="5" w:name="_Toc5294"/>
    </w:p>
    <w:p>
      <w:pPr>
        <w:pStyle w:val="2"/>
        <w:rPr>
          <w:rFonts w:hint="default"/>
        </w:rPr>
      </w:pPr>
    </w:p>
    <w:bookmarkEnd w:id="0"/>
    <w:bookmarkEnd w:id="1"/>
    <w:bookmarkEnd w:id="2"/>
    <w:bookmarkEnd w:id="3"/>
    <w:bookmarkEnd w:id="4"/>
    <w:bookmarkEnd w:id="5"/>
    <w:p>
      <w:pPr>
        <w:spacing w:line="360" w:lineRule="auto"/>
        <w:jc w:val="center"/>
        <w:outlineLvl w:val="9"/>
        <w:rPr>
          <w:rFonts w:hint="eastAsia" w:ascii="Times New Roman" w:hAnsi="Times New Roman" w:eastAsia="华文中宋" w:cs="Times New Roman"/>
          <w:b w:val="0"/>
          <w:bCs w:val="0"/>
          <w:snapToGrid w:val="0"/>
          <w:color w:val="000000" w:themeColor="text1"/>
          <w:kern w:val="0"/>
          <w:sz w:val="84"/>
          <w:szCs w:val="32"/>
          <w:u w:val="none"/>
          <w:lang w:eastAsia="zh-CN"/>
        </w:rPr>
      </w:pPr>
      <w:r>
        <w:rPr>
          <w:rFonts w:hint="eastAsia" w:ascii="Times New Roman" w:hAnsi="Times New Roman" w:eastAsia="华文中宋" w:cs="Times New Roman"/>
          <w:b w:val="0"/>
          <w:bCs w:val="0"/>
          <w:snapToGrid w:val="0"/>
          <w:color w:val="000000" w:themeColor="text1"/>
          <w:kern w:val="0"/>
          <w:sz w:val="84"/>
          <w:szCs w:val="32"/>
          <w:u w:val="none"/>
          <w:lang w:eastAsia="zh-CN"/>
        </w:rPr>
        <w:t>中国人口福利基金会</w:t>
      </w:r>
    </w:p>
    <w:p>
      <w:pPr>
        <w:tabs>
          <w:tab w:val="left" w:pos="8400"/>
        </w:tabs>
        <w:spacing w:line="360" w:lineRule="auto"/>
        <w:jc w:val="center"/>
        <w:outlineLvl w:val="9"/>
        <w:rPr>
          <w:rFonts w:hint="default" w:ascii="Times New Roman" w:hAnsi="Times New Roman" w:eastAsia="华文中宋" w:cs="Times New Roman"/>
          <w:b w:val="0"/>
          <w:bCs w:val="0"/>
          <w:snapToGrid w:val="0"/>
          <w:color w:val="000000" w:themeColor="text1"/>
          <w:kern w:val="0"/>
          <w:sz w:val="84"/>
          <w:szCs w:val="32"/>
          <w:u w:val="none"/>
        </w:rPr>
      </w:pPr>
      <w:bookmarkStart w:id="6" w:name="_Toc32543"/>
      <w:bookmarkStart w:id="7" w:name="_Toc9821"/>
      <w:bookmarkStart w:id="8" w:name="_Toc677"/>
      <w:bookmarkStart w:id="9" w:name="_Toc8324"/>
      <w:bookmarkStart w:id="10" w:name="_Toc17509"/>
      <w:bookmarkStart w:id="11" w:name="_Toc27806"/>
      <w:r>
        <w:rPr>
          <w:rFonts w:hint="default" w:ascii="Times New Roman" w:hAnsi="Times New Roman" w:eastAsia="华文中宋" w:cs="Times New Roman"/>
          <w:b w:val="0"/>
          <w:bCs w:val="0"/>
          <w:snapToGrid w:val="0"/>
          <w:color w:val="000000" w:themeColor="text1"/>
          <w:kern w:val="0"/>
          <w:sz w:val="84"/>
          <w:szCs w:val="32"/>
          <w:u w:val="none"/>
        </w:rPr>
        <w:t>202</w:t>
      </w:r>
      <w:r>
        <w:rPr>
          <w:rFonts w:hint="eastAsia" w:ascii="Times New Roman" w:hAnsi="Times New Roman" w:eastAsia="华文中宋" w:cs="Times New Roman"/>
          <w:b w:val="0"/>
          <w:bCs w:val="0"/>
          <w:snapToGrid w:val="0"/>
          <w:color w:val="000000" w:themeColor="text1"/>
          <w:kern w:val="0"/>
          <w:sz w:val="84"/>
          <w:szCs w:val="32"/>
          <w:u w:val="none"/>
          <w:lang w:val="en-US" w:eastAsia="zh-CN"/>
        </w:rPr>
        <w:t>2</w:t>
      </w:r>
      <w:r>
        <w:rPr>
          <w:rFonts w:hint="default" w:ascii="Times New Roman" w:hAnsi="Times New Roman" w:eastAsia="华文中宋" w:cs="Times New Roman"/>
          <w:b w:val="0"/>
          <w:bCs w:val="0"/>
          <w:snapToGrid w:val="0"/>
          <w:color w:val="000000" w:themeColor="text1"/>
          <w:kern w:val="0"/>
          <w:sz w:val="84"/>
          <w:szCs w:val="32"/>
          <w:u w:val="none"/>
        </w:rPr>
        <w:t>年度</w:t>
      </w:r>
      <w:r>
        <w:rPr>
          <w:rFonts w:hint="default" w:ascii="Times New Roman" w:hAnsi="Times New Roman" w:eastAsia="华文中宋" w:cs="Times New Roman"/>
          <w:b w:val="0"/>
          <w:bCs w:val="0"/>
          <w:snapToGrid w:val="0"/>
          <w:color w:val="000000" w:themeColor="text1"/>
          <w:kern w:val="0"/>
          <w:sz w:val="84"/>
          <w:szCs w:val="32"/>
          <w:u w:val="none"/>
          <w:lang w:eastAsia="zh-CN"/>
        </w:rPr>
        <w:t>单位</w:t>
      </w:r>
      <w:r>
        <w:rPr>
          <w:rFonts w:hint="default" w:ascii="Times New Roman" w:hAnsi="Times New Roman" w:eastAsia="华文中宋" w:cs="Times New Roman"/>
          <w:b w:val="0"/>
          <w:bCs w:val="0"/>
          <w:snapToGrid w:val="0"/>
          <w:color w:val="000000" w:themeColor="text1"/>
          <w:kern w:val="0"/>
          <w:sz w:val="84"/>
          <w:szCs w:val="32"/>
          <w:u w:val="none"/>
        </w:rPr>
        <w:t>决算</w:t>
      </w:r>
      <w:bookmarkEnd w:id="6"/>
      <w:bookmarkEnd w:id="7"/>
      <w:bookmarkEnd w:id="8"/>
      <w:bookmarkEnd w:id="9"/>
      <w:bookmarkEnd w:id="10"/>
      <w:bookmarkEnd w:id="11"/>
    </w:p>
    <w:p>
      <w:pPr>
        <w:pStyle w:val="2"/>
        <w:spacing w:afterLines="0"/>
        <w:jc w:val="center"/>
        <w:rPr>
          <w:rFonts w:hint="default" w:ascii="Times New Roman" w:hAnsi="Times New Roman" w:cs="Times New Roman"/>
          <w:b w:val="0"/>
          <w:bCs w:val="0"/>
          <w:color w:val="000000" w:themeColor="text1"/>
          <w:kern w:val="28"/>
          <w:u w:val="none"/>
        </w:rPr>
      </w:pPr>
      <w:bookmarkStart w:id="12" w:name="_Toc11590"/>
      <w:bookmarkStart w:id="13" w:name="_Toc5592"/>
      <w:bookmarkStart w:id="14" w:name="_Toc29541"/>
      <w:bookmarkStart w:id="15" w:name="_Toc76129243"/>
      <w:bookmarkStart w:id="16" w:name="_Toc3227"/>
      <w:bookmarkStart w:id="17" w:name="_Toc27142"/>
      <w:bookmarkStart w:id="18" w:name="_Toc10374"/>
      <w:bookmarkStart w:id="19" w:name="_Toc3224"/>
      <w:bookmarkStart w:id="20" w:name="_Toc23841"/>
      <w:bookmarkStart w:id="21" w:name="_Toc4729"/>
      <w:bookmarkStart w:id="22" w:name="_Toc18644"/>
      <w:bookmarkStart w:id="23" w:name="_Toc20625"/>
      <w:bookmarkStart w:id="24" w:name="_Toc21199"/>
      <w:bookmarkStart w:id="25" w:name="_Toc8540"/>
      <w:bookmarkStart w:id="26" w:name="_Toc22041"/>
      <w:bookmarkStart w:id="27" w:name="_Toc19394"/>
      <w:bookmarkStart w:id="28" w:name="_Toc20051"/>
      <w:bookmarkStart w:id="29" w:name="_Toc13124"/>
      <w:bookmarkStart w:id="30" w:name="_Toc28572"/>
      <w:bookmarkStart w:id="31" w:name="_Toc12110"/>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pPr>
    </w:p>
    <w:p>
      <w:pPr>
        <w:pStyle w:val="2"/>
        <w:spacing w:afterLines="0"/>
        <w:jc w:val="center"/>
        <w:rPr>
          <w:rFonts w:hint="default" w:ascii="Times New Roman" w:hAnsi="Times New Roman" w:cs="Times New Roman"/>
          <w:b w:val="0"/>
          <w:bCs w:val="0"/>
          <w:color w:val="000000" w:themeColor="text1"/>
          <w:kern w:val="28"/>
          <w:u w:val="none"/>
        </w:rPr>
        <w:sectPr>
          <w:footerReference r:id="rId3" w:type="default"/>
          <w:pgSz w:w="11907" w:h="16840"/>
          <w:pgMar w:top="1440" w:right="1191" w:bottom="1440" w:left="1247" w:header="964" w:footer="992" w:gutter="0"/>
          <w:pgNumType w:start="1"/>
          <w:cols w:space="720" w:num="1"/>
          <w:docGrid w:linePitch="381" w:charSpace="0"/>
        </w:sectPr>
      </w:pPr>
    </w:p>
    <w:p>
      <w:pPr>
        <w:pStyle w:val="2"/>
        <w:spacing w:afterLines="0"/>
        <w:jc w:val="center"/>
        <w:rPr>
          <w:rFonts w:hint="eastAsia" w:ascii="Times New Roman" w:hAnsi="Times New Roman" w:eastAsia="华文中宋" w:cs="Times New Roman"/>
          <w:b w:val="0"/>
          <w:bCs w:val="0"/>
          <w:color w:val="000000" w:themeColor="text1"/>
          <w:u w:val="none"/>
          <w:lang w:eastAsia="zh-CN"/>
        </w:rPr>
      </w:pPr>
      <w:r>
        <w:rPr>
          <w:rFonts w:hint="default" w:ascii="Times New Roman" w:hAnsi="Times New Roman" w:cs="Times New Roman"/>
          <w:b w:val="0"/>
          <w:bCs w:val="0"/>
          <w:color w:val="000000" w:themeColor="text1"/>
          <w:kern w:val="28"/>
          <w:u w:val="none"/>
        </w:rPr>
        <w:t>目  录</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15"/>
        <w:tabs>
          <w:tab w:val="right" w:leader="dot" w:pos="9469"/>
        </w:tabs>
      </w:pPr>
      <w:r>
        <w:rPr>
          <w:rFonts w:hint="default" w:ascii="Times New Roman" w:hAnsi="Times New Roman" w:cs="Times New Roman"/>
          <w:b w:val="0"/>
          <w:bCs w:val="0"/>
          <w:color w:val="000000" w:themeColor="text1"/>
          <w:u w:val="none"/>
        </w:rPr>
        <w:fldChar w:fldCharType="begin"/>
      </w:r>
      <w:r>
        <w:rPr>
          <w:rFonts w:hint="default" w:ascii="Times New Roman" w:hAnsi="Times New Roman" w:cs="Times New Roman"/>
          <w:b w:val="0"/>
          <w:bCs w:val="0"/>
          <w:color w:val="000000" w:themeColor="text1"/>
          <w:u w:val="none"/>
        </w:rPr>
        <w:instrText xml:space="preserve">TOC \o "1-3" \h \u </w:instrText>
      </w:r>
      <w:r>
        <w:rPr>
          <w:rFonts w:hint="default" w:ascii="Times New Roman" w:hAnsi="Times New Roman" w:cs="Times New Roman"/>
          <w:b w:val="0"/>
          <w:bCs w:val="0"/>
          <w:color w:val="000000" w:themeColor="text1"/>
          <w:u w:val="none"/>
        </w:rPr>
        <w:fldChar w:fldCharType="separate"/>
      </w:r>
    </w:p>
    <w:p>
      <w:pPr>
        <w:pStyle w:val="15"/>
        <w:tabs>
          <w:tab w:val="right" w:leader="dot" w:pos="9469"/>
        </w:tabs>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bCs w:val="0"/>
          <w:color w:val="000000" w:themeColor="text1"/>
          <w:sz w:val="32"/>
          <w:szCs w:val="32"/>
          <w:u w:val="none"/>
        </w:rPr>
        <w:fldChar w:fldCharType="begin"/>
      </w:r>
      <w:r>
        <w:rPr>
          <w:rFonts w:hint="default" w:ascii="Times New Roman" w:hAnsi="Times New Roman" w:eastAsia="黑体" w:cs="Times New Roman"/>
          <w:bCs w:val="0"/>
          <w:sz w:val="32"/>
          <w:szCs w:val="32"/>
        </w:rPr>
        <w:instrText xml:space="preserve"> HYPERLINK \l _Toc19285 </w:instrText>
      </w:r>
      <w:r>
        <w:rPr>
          <w:rFonts w:hint="default" w:ascii="Times New Roman" w:hAnsi="Times New Roman" w:eastAsia="黑体" w:cs="Times New Roman"/>
          <w:bCs w:val="0"/>
          <w:sz w:val="32"/>
          <w:szCs w:val="32"/>
        </w:rPr>
        <w:fldChar w:fldCharType="separate"/>
      </w:r>
      <w:r>
        <w:rPr>
          <w:rFonts w:hint="default" w:ascii="Times New Roman" w:hAnsi="Times New Roman" w:eastAsia="黑体" w:cs="Times New Roman"/>
          <w:bCs w:val="0"/>
          <w:sz w:val="32"/>
          <w:szCs w:val="32"/>
          <w:lang w:eastAsia="zh-CN"/>
        </w:rPr>
        <w:t>第一部分</w:t>
      </w:r>
      <w:r>
        <w:rPr>
          <w:rFonts w:hint="default" w:ascii="Times New Roman" w:hAnsi="Times New Roman" w:eastAsia="黑体" w:cs="Times New Roman"/>
          <w:bCs w:val="0"/>
          <w:sz w:val="32"/>
          <w:szCs w:val="32"/>
        </w:rPr>
        <w:t xml:space="preserve"> 单位概况</w:t>
      </w:r>
      <w:r>
        <w:rPr>
          <w:rFonts w:hint="default" w:ascii="Times New Roman" w:hAnsi="Times New Roman" w:eastAsia="黑体" w:cs="Times New Roman"/>
          <w:sz w:val="32"/>
          <w:szCs w:val="32"/>
        </w:rPr>
        <w:tab/>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_Toc19459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val="0"/>
          <w:sz w:val="32"/>
          <w:szCs w:val="32"/>
        </w:rPr>
        <w:t>一、单位职责</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_Toc21861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val="0"/>
          <w:sz w:val="32"/>
          <w:szCs w:val="32"/>
        </w:rPr>
        <w:t>二、机构设置</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_Toc21861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5"/>
        <w:tabs>
          <w:tab w:val="right" w:leader="dot" w:pos="9469"/>
        </w:tabs>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bCs w:val="0"/>
          <w:color w:val="000000" w:themeColor="text1"/>
          <w:sz w:val="32"/>
          <w:szCs w:val="32"/>
          <w:u w:val="none"/>
        </w:rPr>
        <w:fldChar w:fldCharType="begin"/>
      </w:r>
      <w:r>
        <w:rPr>
          <w:rFonts w:hint="default" w:ascii="Times New Roman" w:hAnsi="Times New Roman" w:eastAsia="黑体" w:cs="Times New Roman"/>
          <w:bCs w:val="0"/>
          <w:sz w:val="32"/>
          <w:szCs w:val="32"/>
        </w:rPr>
        <w:instrText xml:space="preserve"> HYPERLINK \l _Toc12141 </w:instrText>
      </w:r>
      <w:r>
        <w:rPr>
          <w:rFonts w:hint="default" w:ascii="Times New Roman" w:hAnsi="Times New Roman" w:eastAsia="黑体" w:cs="Times New Roman"/>
          <w:bCs w:val="0"/>
          <w:sz w:val="32"/>
          <w:szCs w:val="32"/>
        </w:rPr>
        <w:fldChar w:fldCharType="separate"/>
      </w:r>
      <w:r>
        <w:rPr>
          <w:rFonts w:hint="default" w:ascii="Times New Roman" w:hAnsi="Times New Roman" w:eastAsia="黑体" w:cs="Times New Roman"/>
          <w:bCs w:val="0"/>
          <w:sz w:val="32"/>
          <w:szCs w:val="32"/>
          <w:lang w:eastAsia="zh-CN"/>
        </w:rPr>
        <w:t>第二部分</w:t>
      </w:r>
      <w:r>
        <w:rPr>
          <w:rFonts w:hint="default" w:ascii="Times New Roman" w:hAnsi="Times New Roman" w:eastAsia="黑体" w:cs="Times New Roman"/>
          <w:bCs w:val="0"/>
          <w:sz w:val="32"/>
          <w:szCs w:val="32"/>
        </w:rPr>
        <w:t xml:space="preserve"> </w:t>
      </w:r>
      <w:r>
        <w:rPr>
          <w:rFonts w:hint="eastAsia" w:ascii="Times New Roman" w:hAnsi="Times New Roman" w:eastAsia="黑体" w:cs="Times New Roman"/>
          <w:bCs w:val="0"/>
          <w:sz w:val="32"/>
          <w:szCs w:val="32"/>
          <w:lang w:eastAsia="zh-CN"/>
        </w:rPr>
        <w:t>中国人口福利基金会</w:t>
      </w:r>
      <w:r>
        <w:rPr>
          <w:rFonts w:hint="default" w:ascii="Times New Roman" w:hAnsi="Times New Roman" w:eastAsia="黑体" w:cs="Times New Roman"/>
          <w:bCs w:val="0"/>
          <w:sz w:val="32"/>
          <w:szCs w:val="32"/>
        </w:rPr>
        <w:t>202</w:t>
      </w:r>
      <w:r>
        <w:rPr>
          <w:rFonts w:hint="default" w:ascii="Times New Roman" w:hAnsi="Times New Roman" w:eastAsia="黑体" w:cs="Times New Roman"/>
          <w:bCs w:val="0"/>
          <w:sz w:val="32"/>
          <w:szCs w:val="32"/>
          <w:lang w:val="en-US" w:eastAsia="zh-CN"/>
        </w:rPr>
        <w:t>2</w:t>
      </w:r>
      <w:r>
        <w:rPr>
          <w:rFonts w:hint="default" w:ascii="Times New Roman" w:hAnsi="Times New Roman" w:eastAsia="黑体" w:cs="Times New Roman"/>
          <w:bCs w:val="0"/>
          <w:sz w:val="32"/>
          <w:szCs w:val="32"/>
        </w:rPr>
        <w:t>年度</w:t>
      </w:r>
      <w:r>
        <w:rPr>
          <w:rFonts w:hint="default" w:ascii="Times New Roman" w:hAnsi="Times New Roman" w:eastAsia="黑体" w:cs="Times New Roman"/>
          <w:bCs w:val="0"/>
          <w:sz w:val="32"/>
          <w:szCs w:val="32"/>
          <w:lang w:eastAsia="zh-CN"/>
        </w:rPr>
        <w:t>单位</w:t>
      </w:r>
      <w:r>
        <w:rPr>
          <w:rFonts w:hint="default" w:ascii="Times New Roman" w:hAnsi="Times New Roman" w:eastAsia="黑体" w:cs="Times New Roman"/>
          <w:bCs w:val="0"/>
          <w:sz w:val="32"/>
          <w:szCs w:val="32"/>
        </w:rPr>
        <w:t>决算表</w:t>
      </w:r>
      <w:r>
        <w:rPr>
          <w:rFonts w:hint="default" w:ascii="Times New Roman" w:hAnsi="Times New Roman" w:eastAsia="黑体" w:cs="Times New Roman"/>
          <w:sz w:val="32"/>
          <w:szCs w:val="32"/>
        </w:rPr>
        <w:tab/>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_Toc13691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i w:val="0"/>
          <w:iCs w:val="0"/>
          <w:sz w:val="32"/>
          <w:szCs w:val="32"/>
        </w:rPr>
        <w:t>收入支出决算总表</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_Toc17102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sz w:val="32"/>
          <w:szCs w:val="32"/>
          <w:lang w:val="en-US" w:eastAsia="zh-CN"/>
        </w:rPr>
        <w:t>收入决算表</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_Toc26767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sz w:val="32"/>
          <w:szCs w:val="32"/>
          <w:lang w:val="en-US" w:eastAsia="zh-CN"/>
        </w:rPr>
        <w:t>支出决算表</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_Toc18836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i w:val="0"/>
          <w:kern w:val="0"/>
          <w:sz w:val="32"/>
          <w:szCs w:val="32"/>
          <w:lang w:val="en-US" w:eastAsia="zh-CN" w:bidi="ar"/>
        </w:rPr>
        <w:t>财政拨款收入支出决算总表</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_Toc15708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i w:val="0"/>
          <w:kern w:val="0"/>
          <w:sz w:val="32"/>
          <w:szCs w:val="32"/>
          <w:lang w:val="en-US" w:eastAsia="zh-CN" w:bidi="ar"/>
        </w:rPr>
        <w:t>一般公共预算财政拨款支出决算表</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_Toc13416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i w:val="0"/>
          <w:kern w:val="0"/>
          <w:sz w:val="32"/>
          <w:szCs w:val="32"/>
          <w:lang w:val="en-US" w:eastAsia="zh-CN" w:bidi="ar"/>
        </w:rPr>
        <w:t>一般公共预算财政拨款基本支出决算明细表</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8</w:t>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eastAsia" w:ascii="Times New Roman" w:hAnsi="Times New Roman" w:eastAsia="楷体_GB2312" w:cs="Times New Roman"/>
          <w:sz w:val="32"/>
          <w:szCs w:val="32"/>
          <w:lang w:val="en-US" w:eastAsia="zh-CN"/>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_Toc21317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i w:val="0"/>
          <w:kern w:val="0"/>
          <w:sz w:val="32"/>
          <w:szCs w:val="32"/>
          <w:lang w:val="en-US" w:eastAsia="zh-CN" w:bidi="ar"/>
        </w:rPr>
        <w:t>政府性基金预算财政拨款收入支出决算表</w:t>
      </w:r>
      <w:r>
        <w:rPr>
          <w:rFonts w:hint="default" w:ascii="Times New Roman" w:hAnsi="Times New Roman" w:eastAsia="楷体_GB2312" w:cs="Times New Roman"/>
          <w:sz w:val="32"/>
          <w:szCs w:val="32"/>
        </w:rPr>
        <w:tab/>
      </w: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bCs w:val="0"/>
          <w:color w:val="000000" w:themeColor="text1"/>
          <w:sz w:val="32"/>
          <w:szCs w:val="32"/>
          <w:u w:val="none"/>
        </w:rPr>
        <w:fldChar w:fldCharType="end"/>
      </w:r>
      <w:r>
        <w:rPr>
          <w:rFonts w:hint="eastAsia" w:ascii="Times New Roman" w:hAnsi="Times New Roman" w:eastAsia="楷体_GB2312" w:cs="Times New Roman"/>
          <w:bCs w:val="0"/>
          <w:color w:val="000000" w:themeColor="text1"/>
          <w:sz w:val="32"/>
          <w:szCs w:val="32"/>
          <w:u w:val="none"/>
          <w:lang w:val="en-US" w:eastAsia="zh-CN"/>
        </w:rPr>
        <w:t>0</w:t>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_Toc14620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val="0"/>
          <w:i w:val="0"/>
          <w:kern w:val="0"/>
          <w:sz w:val="32"/>
          <w:szCs w:val="32"/>
          <w:lang w:val="en-US" w:eastAsia="zh-CN" w:bidi="ar"/>
        </w:rPr>
        <w:t>国有资本经营预算财政拨款支出决算表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_Toc14620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_Toc5376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val="0"/>
          <w:i w:val="0"/>
          <w:kern w:val="0"/>
          <w:sz w:val="32"/>
          <w:szCs w:val="32"/>
          <w:lang w:val="en-US" w:eastAsia="zh-CN" w:bidi="ar"/>
        </w:rPr>
        <w:t>财政拨款“三公”经费支出决算表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_Toc5376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5"/>
        <w:tabs>
          <w:tab w:val="right" w:leader="dot" w:pos="9469"/>
        </w:tabs>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bCs w:val="0"/>
          <w:color w:val="000000" w:themeColor="text1"/>
          <w:sz w:val="32"/>
          <w:szCs w:val="32"/>
          <w:u w:val="none"/>
        </w:rPr>
        <w:fldChar w:fldCharType="begin"/>
      </w:r>
      <w:r>
        <w:rPr>
          <w:rFonts w:hint="default" w:ascii="Times New Roman" w:hAnsi="Times New Roman" w:eastAsia="黑体" w:cs="Times New Roman"/>
          <w:bCs w:val="0"/>
          <w:sz w:val="32"/>
          <w:szCs w:val="32"/>
        </w:rPr>
        <w:instrText xml:space="preserve"> HYPERLINK \l _Toc6923 </w:instrText>
      </w:r>
      <w:r>
        <w:rPr>
          <w:rFonts w:hint="default" w:ascii="Times New Roman" w:hAnsi="Times New Roman" w:eastAsia="黑体" w:cs="Times New Roman"/>
          <w:bCs w:val="0"/>
          <w:sz w:val="32"/>
          <w:szCs w:val="32"/>
        </w:rPr>
        <w:fldChar w:fldCharType="separate"/>
      </w:r>
      <w:r>
        <w:rPr>
          <w:rFonts w:hint="default" w:ascii="Times New Roman" w:hAnsi="Times New Roman" w:eastAsia="黑体" w:cs="Times New Roman"/>
          <w:bCs w:val="0"/>
          <w:sz w:val="32"/>
          <w:szCs w:val="32"/>
          <w:lang w:eastAsia="zh-CN"/>
        </w:rPr>
        <w:t>第三部分</w:t>
      </w:r>
      <w:r>
        <w:rPr>
          <w:rFonts w:hint="default" w:ascii="Times New Roman" w:hAnsi="Times New Roman" w:eastAsia="黑体" w:cs="Times New Roman"/>
          <w:bCs w:val="0"/>
          <w:sz w:val="32"/>
          <w:szCs w:val="32"/>
          <w:lang w:val="en-US" w:eastAsia="zh-CN"/>
        </w:rPr>
        <w:t xml:space="preserve"> </w:t>
      </w:r>
      <w:r>
        <w:rPr>
          <w:rFonts w:hint="eastAsia" w:ascii="Times New Roman" w:hAnsi="Times New Roman" w:eastAsia="黑体" w:cs="Times New Roman"/>
          <w:bCs w:val="0"/>
          <w:sz w:val="32"/>
          <w:szCs w:val="32"/>
          <w:lang w:eastAsia="zh-CN"/>
        </w:rPr>
        <w:t>中国人口福利基金会</w:t>
      </w:r>
      <w:r>
        <w:rPr>
          <w:rFonts w:hint="default" w:ascii="Times New Roman" w:hAnsi="Times New Roman" w:eastAsia="黑体" w:cs="Times New Roman"/>
          <w:bCs w:val="0"/>
          <w:sz w:val="32"/>
          <w:szCs w:val="32"/>
        </w:rPr>
        <w:t>202</w:t>
      </w:r>
      <w:r>
        <w:rPr>
          <w:rFonts w:hint="default" w:ascii="Times New Roman" w:hAnsi="Times New Roman" w:eastAsia="黑体" w:cs="Times New Roman"/>
          <w:bCs w:val="0"/>
          <w:sz w:val="32"/>
          <w:szCs w:val="32"/>
          <w:lang w:val="en-US" w:eastAsia="zh-CN"/>
        </w:rPr>
        <w:t>2</w:t>
      </w:r>
      <w:r>
        <w:rPr>
          <w:rFonts w:hint="default" w:ascii="Times New Roman" w:hAnsi="Times New Roman" w:eastAsia="黑体" w:cs="Times New Roman"/>
          <w:bCs w:val="0"/>
          <w:sz w:val="32"/>
          <w:szCs w:val="32"/>
        </w:rPr>
        <w:t>年度</w:t>
      </w:r>
      <w:r>
        <w:rPr>
          <w:rFonts w:hint="default" w:ascii="Times New Roman" w:hAnsi="Times New Roman" w:eastAsia="黑体" w:cs="Times New Roman"/>
          <w:bCs w:val="0"/>
          <w:sz w:val="32"/>
          <w:szCs w:val="32"/>
          <w:lang w:eastAsia="zh-CN"/>
        </w:rPr>
        <w:t>单位</w:t>
      </w:r>
      <w:r>
        <w:rPr>
          <w:rFonts w:hint="default" w:ascii="Times New Roman" w:hAnsi="Times New Roman" w:eastAsia="黑体" w:cs="Times New Roman"/>
          <w:bCs w:val="0"/>
          <w:sz w:val="32"/>
          <w:szCs w:val="32"/>
        </w:rPr>
        <w:t>决算情况说明</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_Toc6923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_Toc13808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val="0"/>
          <w:sz w:val="32"/>
          <w:szCs w:val="32"/>
        </w:rPr>
        <w:t>一、单位收支总体情况说明</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_Toc13808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_Toc12193 </w:instrText>
      </w:r>
      <w:r>
        <w:rPr>
          <w:rFonts w:hint="default" w:ascii="Times New Roman" w:hAnsi="Times New Roman" w:eastAsia="楷体_GB2312" w:cs="Times New Roman"/>
          <w:bCs w:val="0"/>
          <w:sz w:val="32"/>
          <w:szCs w:val="32"/>
        </w:rPr>
        <w:fldChar w:fldCharType="separate"/>
      </w:r>
      <w:r>
        <w:rPr>
          <w:rFonts w:hint="default" w:ascii="Times New Roman" w:hAnsi="Times New Roman" w:eastAsia="楷体_GB2312" w:cs="Times New Roman"/>
          <w:bCs w:val="0"/>
          <w:sz w:val="32"/>
          <w:szCs w:val="32"/>
        </w:rPr>
        <w:t>二、一般公共预算财政拨款支出情况说明</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_Toc12193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_Toc24889 </w:instrText>
      </w:r>
      <w:r>
        <w:rPr>
          <w:rFonts w:hint="default" w:ascii="Times New Roman" w:hAnsi="Times New Roman" w:eastAsia="楷体_GB2312" w:cs="Times New Roman"/>
          <w:bCs w:val="0"/>
          <w:sz w:val="32"/>
          <w:szCs w:val="32"/>
        </w:rPr>
        <w:fldChar w:fldCharType="separate"/>
      </w:r>
      <w:r>
        <w:rPr>
          <w:rFonts w:hint="eastAsia" w:ascii="Times New Roman" w:hAnsi="Times New Roman" w:eastAsia="楷体_GB2312" w:cs="Times New Roman"/>
          <w:bCs w:val="0"/>
          <w:sz w:val="32"/>
          <w:szCs w:val="32"/>
          <w:lang w:eastAsia="zh-CN"/>
        </w:rPr>
        <w:t>三</w:t>
      </w:r>
      <w:r>
        <w:rPr>
          <w:rFonts w:hint="default" w:ascii="Times New Roman" w:hAnsi="Times New Roman" w:eastAsia="楷体_GB2312" w:cs="Times New Roman"/>
          <w:bCs w:val="0"/>
          <w:sz w:val="32"/>
          <w:szCs w:val="32"/>
        </w:rPr>
        <w:t>、政府性基金预算财政拨款收支情况说明。</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_Toc24889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_Toc12019 </w:instrText>
      </w:r>
      <w:r>
        <w:rPr>
          <w:rFonts w:hint="default" w:ascii="Times New Roman" w:hAnsi="Times New Roman" w:eastAsia="楷体_GB2312" w:cs="Times New Roman"/>
          <w:bCs w:val="0"/>
          <w:sz w:val="32"/>
          <w:szCs w:val="32"/>
        </w:rPr>
        <w:fldChar w:fldCharType="separate"/>
      </w:r>
      <w:r>
        <w:rPr>
          <w:rFonts w:hint="eastAsia" w:ascii="Times New Roman" w:hAnsi="Times New Roman" w:eastAsia="楷体_GB2312" w:cs="Times New Roman"/>
          <w:bCs w:val="0"/>
          <w:sz w:val="32"/>
          <w:szCs w:val="32"/>
          <w:lang w:eastAsia="zh-CN"/>
        </w:rPr>
        <w:t>四</w:t>
      </w:r>
      <w:r>
        <w:rPr>
          <w:rFonts w:hint="default" w:ascii="Times New Roman" w:hAnsi="Times New Roman" w:eastAsia="楷体_GB2312" w:cs="Times New Roman"/>
          <w:bCs w:val="0"/>
          <w:sz w:val="32"/>
          <w:szCs w:val="32"/>
        </w:rPr>
        <w:t>、国有资本经营预算财政拨款收支情况说明。</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_Toc12019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7"/>
        <w:tabs>
          <w:tab w:val="right" w:leader="dot" w:pos="9469"/>
        </w:tabs>
        <w:spacing w:line="240" w:lineRule="auto"/>
        <w:rPr>
          <w:rFonts w:hint="default" w:ascii="Times New Roman" w:hAnsi="Times New Roman" w:cs="Times New Roman"/>
          <w:sz w:val="32"/>
          <w:szCs w:val="32"/>
        </w:rPr>
      </w:pPr>
      <w:r>
        <w:rPr>
          <w:rFonts w:hint="default" w:ascii="Times New Roman" w:hAnsi="Times New Roman" w:eastAsia="楷体_GB2312" w:cs="Times New Roman"/>
          <w:bCs w:val="0"/>
          <w:color w:val="000000" w:themeColor="text1"/>
          <w:sz w:val="32"/>
          <w:szCs w:val="32"/>
          <w:u w:val="none"/>
        </w:rPr>
        <w:fldChar w:fldCharType="begin"/>
      </w:r>
      <w:r>
        <w:rPr>
          <w:rFonts w:hint="default" w:ascii="Times New Roman" w:hAnsi="Times New Roman" w:eastAsia="楷体_GB2312" w:cs="Times New Roman"/>
          <w:bCs w:val="0"/>
          <w:sz w:val="32"/>
          <w:szCs w:val="32"/>
        </w:rPr>
        <w:instrText xml:space="preserve"> HYPERLINK \l _Toc27359 </w:instrText>
      </w:r>
      <w:r>
        <w:rPr>
          <w:rFonts w:hint="default" w:ascii="Times New Roman" w:hAnsi="Times New Roman" w:eastAsia="楷体_GB2312" w:cs="Times New Roman"/>
          <w:bCs w:val="0"/>
          <w:sz w:val="32"/>
          <w:szCs w:val="32"/>
        </w:rPr>
        <w:fldChar w:fldCharType="separate"/>
      </w:r>
      <w:r>
        <w:rPr>
          <w:rFonts w:hint="eastAsia" w:ascii="Times New Roman" w:hAnsi="Times New Roman" w:eastAsia="楷体_GB2312" w:cs="Times New Roman"/>
          <w:bCs w:val="0"/>
          <w:sz w:val="32"/>
          <w:szCs w:val="32"/>
          <w:lang w:eastAsia="zh-CN"/>
        </w:rPr>
        <w:t>五</w:t>
      </w:r>
      <w:r>
        <w:rPr>
          <w:rFonts w:hint="default" w:ascii="Times New Roman" w:hAnsi="Times New Roman" w:eastAsia="楷体_GB2312" w:cs="Times New Roman"/>
          <w:bCs w:val="0"/>
          <w:sz w:val="32"/>
          <w:szCs w:val="32"/>
        </w:rPr>
        <w:t>、其他重要事项情况说明</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_Toc27359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themeColor="text1"/>
          <w:sz w:val="32"/>
          <w:szCs w:val="32"/>
          <w:u w:val="none"/>
        </w:rPr>
        <w:fldChar w:fldCharType="end"/>
      </w:r>
    </w:p>
    <w:p>
      <w:pPr>
        <w:pStyle w:val="15"/>
        <w:tabs>
          <w:tab w:val="right" w:leader="dot" w:pos="9469"/>
        </w:tabs>
        <w:spacing w:line="240" w:lineRule="auto"/>
      </w:pPr>
      <w:r>
        <w:rPr>
          <w:rFonts w:hint="default" w:ascii="Times New Roman" w:hAnsi="Times New Roman" w:eastAsia="黑体" w:cs="Times New Roman"/>
          <w:bCs w:val="0"/>
          <w:color w:val="000000" w:themeColor="text1"/>
          <w:sz w:val="32"/>
          <w:szCs w:val="32"/>
          <w:u w:val="none"/>
        </w:rPr>
        <w:fldChar w:fldCharType="begin"/>
      </w:r>
      <w:r>
        <w:rPr>
          <w:rFonts w:hint="default" w:ascii="Times New Roman" w:hAnsi="Times New Roman" w:eastAsia="黑体" w:cs="Times New Roman"/>
          <w:bCs w:val="0"/>
          <w:sz w:val="32"/>
          <w:szCs w:val="32"/>
        </w:rPr>
        <w:instrText xml:space="preserve"> HYPERLINK \l _Toc10166 </w:instrText>
      </w:r>
      <w:r>
        <w:rPr>
          <w:rFonts w:hint="default" w:ascii="Times New Roman" w:hAnsi="Times New Roman" w:eastAsia="黑体" w:cs="Times New Roman"/>
          <w:bCs w:val="0"/>
          <w:sz w:val="32"/>
          <w:szCs w:val="32"/>
        </w:rPr>
        <w:fldChar w:fldCharType="separate"/>
      </w:r>
      <w:r>
        <w:rPr>
          <w:rFonts w:hint="default" w:ascii="Times New Roman" w:hAnsi="Times New Roman" w:eastAsia="黑体" w:cs="Times New Roman"/>
          <w:bCs w:val="0"/>
          <w:sz w:val="32"/>
          <w:szCs w:val="32"/>
        </w:rPr>
        <w:t>第四部分 名词解释</w:t>
      </w:r>
      <w:r>
        <w:rPr>
          <w:rFonts w:hint="default" w:ascii="Times New Roman" w:hAnsi="Times New Roman" w:eastAsia="黑体" w:cs="Times New Roman"/>
          <w:sz w:val="32"/>
          <w:szCs w:val="32"/>
        </w:rPr>
        <w:tab/>
      </w:r>
      <w:r>
        <w:rPr>
          <w:rFonts w:hint="default" w:ascii="Times New Roman" w:hAnsi="Times New Roman" w:eastAsia="黑体" w:cs="Times New Roman"/>
          <w:sz w:val="32"/>
          <w:szCs w:val="32"/>
        </w:rPr>
        <w:fldChar w:fldCharType="begin"/>
      </w:r>
      <w:r>
        <w:rPr>
          <w:rFonts w:hint="default" w:ascii="Times New Roman" w:hAnsi="Times New Roman" w:eastAsia="黑体" w:cs="Times New Roman"/>
          <w:sz w:val="32"/>
          <w:szCs w:val="32"/>
        </w:rPr>
        <w:instrText xml:space="preserve"> PAGEREF _Toc10166 </w:instrText>
      </w:r>
      <w:r>
        <w:rPr>
          <w:rFonts w:hint="default" w:ascii="Times New Roman" w:hAnsi="Times New Roman" w:eastAsia="黑体" w:cs="Times New Roman"/>
          <w:sz w:val="32"/>
          <w:szCs w:val="32"/>
        </w:rPr>
        <w:fldChar w:fldCharType="separate"/>
      </w:r>
      <w:r>
        <w:rPr>
          <w:rFonts w:hint="default" w:ascii="Times New Roman" w:hAnsi="Times New Roman" w:eastAsia="黑体" w:cs="Times New Roman"/>
          <w:sz w:val="32"/>
          <w:szCs w:val="32"/>
        </w:rPr>
        <w:t>15</w:t>
      </w:r>
      <w:r>
        <w:rPr>
          <w:rFonts w:hint="default" w:ascii="Times New Roman" w:hAnsi="Times New Roman" w:eastAsia="黑体" w:cs="Times New Roman"/>
          <w:sz w:val="32"/>
          <w:szCs w:val="32"/>
        </w:rPr>
        <w:fldChar w:fldCharType="end"/>
      </w:r>
      <w:r>
        <w:rPr>
          <w:rFonts w:hint="default" w:ascii="Times New Roman" w:hAnsi="Times New Roman" w:eastAsia="黑体" w:cs="Times New Roman"/>
          <w:bCs w:val="0"/>
          <w:color w:val="000000" w:themeColor="text1"/>
          <w:sz w:val="32"/>
          <w:szCs w:val="32"/>
          <w:u w:val="none"/>
        </w:rPr>
        <w:fldChar w:fldCharType="end"/>
      </w:r>
    </w:p>
    <w:p>
      <w:pPr>
        <w:pStyle w:val="38"/>
        <w:keepNext w:val="0"/>
        <w:keepLines w:val="0"/>
        <w:pageBreakBefore w:val="0"/>
        <w:widowControl w:val="0"/>
        <w:kinsoku/>
        <w:wordWrap/>
        <w:overflowPunct/>
        <w:topLinePunct w:val="0"/>
        <w:autoSpaceDE/>
        <w:autoSpaceDN/>
        <w:bidi w:val="0"/>
        <w:adjustRightInd w:val="0"/>
        <w:snapToGrid w:val="0"/>
        <w:spacing w:before="382" w:beforeLines="100" w:afterLines="0" w:line="360" w:lineRule="auto"/>
        <w:ind w:firstLine="640"/>
        <w:textAlignment w:val="auto"/>
        <w:rPr>
          <w:rFonts w:hint="default" w:ascii="Times New Roman" w:hAnsi="Times New Roman" w:cs="Times New Roman"/>
          <w:b/>
          <w:bCs/>
          <w:color w:val="000000" w:themeColor="text1"/>
          <w:u w:val="none"/>
        </w:rPr>
      </w:pPr>
      <w:r>
        <w:rPr>
          <w:rFonts w:hint="default" w:ascii="Times New Roman" w:hAnsi="Times New Roman" w:cs="Times New Roman"/>
          <w:bCs w:val="0"/>
          <w:color w:val="000000" w:themeColor="text1"/>
          <w:u w:val="none"/>
        </w:rPr>
        <w:fldChar w:fldCharType="end"/>
      </w:r>
    </w:p>
    <w:p>
      <w:pPr>
        <w:pStyle w:val="38"/>
        <w:spacing w:beforeLines="0" w:afterLines="0"/>
        <w:ind w:firstLine="640"/>
        <w:rPr>
          <w:rFonts w:hint="default" w:ascii="Times New Roman" w:hAnsi="Times New Roman" w:cs="Times New Roman"/>
          <w:b w:val="0"/>
          <w:bCs w:val="0"/>
          <w:color w:val="000000" w:themeColor="text1"/>
          <w:u w:val="none"/>
        </w:rPr>
      </w:pPr>
    </w:p>
    <w:p>
      <w:pPr>
        <w:rPr>
          <w:rFonts w:hint="default" w:ascii="Times New Roman" w:hAnsi="Times New Roman" w:cs="Times New Roman"/>
          <w:b w:val="0"/>
          <w:bCs w:val="0"/>
          <w:color w:val="000000" w:themeColor="text1"/>
          <w:u w:val="none"/>
          <w:lang w:eastAsia="zh-CN"/>
        </w:rPr>
      </w:pPr>
      <w:bookmarkStart w:id="32" w:name="_Toc3374"/>
      <w:r>
        <w:rPr>
          <w:rFonts w:hint="default" w:ascii="Times New Roman" w:hAnsi="Times New Roman" w:cs="Times New Roman"/>
          <w:b w:val="0"/>
          <w:bCs w:val="0"/>
          <w:color w:val="000000" w:themeColor="text1"/>
          <w:u w:val="none"/>
          <w:lang w:eastAsia="zh-CN"/>
        </w:rPr>
        <w:br w:type="page"/>
      </w:r>
    </w:p>
    <w:p>
      <w:pPr>
        <w:pStyle w:val="4"/>
        <w:numPr>
          <w:ilvl w:val="0"/>
          <w:numId w:val="0"/>
        </w:numPr>
        <w:spacing w:before="120" w:after="120"/>
        <w:rPr>
          <w:rFonts w:hint="default" w:ascii="Times New Roman" w:hAnsi="Times New Roman" w:cs="Times New Roman"/>
          <w:b w:val="0"/>
          <w:bCs w:val="0"/>
          <w:color w:val="000000" w:themeColor="text1"/>
          <w:u w:val="none"/>
        </w:rPr>
      </w:pPr>
      <w:bookmarkStart w:id="33" w:name="_Toc19285"/>
      <w:r>
        <w:rPr>
          <w:rFonts w:hint="default" w:ascii="Times New Roman" w:hAnsi="Times New Roman" w:cs="Times New Roman"/>
          <w:b w:val="0"/>
          <w:bCs w:val="0"/>
          <w:color w:val="000000" w:themeColor="text1"/>
          <w:u w:val="none"/>
          <w:lang w:eastAsia="zh-CN"/>
        </w:rPr>
        <w:t>第一部分</w:t>
      </w:r>
      <w:r>
        <w:rPr>
          <w:rFonts w:hint="default" w:ascii="Times New Roman" w:hAnsi="Times New Roman" w:cs="Times New Roman"/>
          <w:b w:val="0"/>
          <w:bCs w:val="0"/>
          <w:color w:val="000000" w:themeColor="text1"/>
          <w:u w:val="none"/>
        </w:rPr>
        <w:t xml:space="preserve"> </w:t>
      </w:r>
      <w:bookmarkStart w:id="34" w:name="_Toc28747"/>
      <w:bookmarkStart w:id="35" w:name="_Toc18330"/>
      <w:bookmarkStart w:id="36" w:name="_Toc20402"/>
      <w:bookmarkStart w:id="37" w:name="_Toc13485"/>
      <w:bookmarkStart w:id="38" w:name="_Toc12328"/>
      <w:bookmarkStart w:id="39" w:name="_Toc76129244"/>
      <w:bookmarkStart w:id="40" w:name="_Toc1002"/>
      <w:bookmarkStart w:id="41" w:name="_Toc8896"/>
      <w:bookmarkStart w:id="42" w:name="_Toc8264"/>
      <w:bookmarkStart w:id="43" w:name="_Toc1546"/>
      <w:bookmarkStart w:id="44" w:name="_Toc13098"/>
      <w:r>
        <w:rPr>
          <w:rFonts w:hint="default" w:ascii="Times New Roman" w:hAnsi="Times New Roman" w:cs="Times New Roman"/>
          <w:b w:val="0"/>
          <w:bCs w:val="0"/>
          <w:color w:val="000000" w:themeColor="text1"/>
          <w:u w:val="none"/>
        </w:rPr>
        <w:t>单位概况</w:t>
      </w:r>
      <w:bookmarkEnd w:id="32"/>
      <w:bookmarkEnd w:id="33"/>
      <w:bookmarkEnd w:id="34"/>
      <w:bookmarkEnd w:id="35"/>
      <w:bookmarkEnd w:id="36"/>
      <w:bookmarkEnd w:id="37"/>
      <w:bookmarkEnd w:id="38"/>
      <w:bookmarkEnd w:id="39"/>
      <w:bookmarkEnd w:id="40"/>
      <w:bookmarkEnd w:id="41"/>
      <w:bookmarkEnd w:id="42"/>
      <w:bookmarkEnd w:id="43"/>
      <w:bookmarkEnd w:id="44"/>
    </w:p>
    <w:p>
      <w:pPr>
        <w:keepNext/>
        <w:keepLines/>
        <w:spacing w:before="156" w:after="156" w:line="360" w:lineRule="auto"/>
        <w:ind w:firstLine="640" w:firstLineChars="200"/>
        <w:outlineLvl w:val="1"/>
        <w:rPr>
          <w:rFonts w:hint="default" w:ascii="Times New Roman" w:hAnsi="Times New Roman" w:eastAsia="黑体" w:cs="Times New Roman"/>
          <w:b w:val="0"/>
          <w:bCs w:val="0"/>
          <w:color w:val="000000" w:themeColor="text1"/>
          <w:sz w:val="32"/>
          <w:szCs w:val="32"/>
          <w:u w:val="none"/>
        </w:rPr>
      </w:pPr>
      <w:bookmarkStart w:id="45" w:name="_Toc17108"/>
      <w:bookmarkStart w:id="46" w:name="_Toc1153"/>
      <w:bookmarkStart w:id="47" w:name="_Toc8585"/>
      <w:bookmarkStart w:id="48" w:name="_Toc6512"/>
      <w:bookmarkStart w:id="49" w:name="_Toc1320"/>
      <w:bookmarkStart w:id="50" w:name="_Toc25983"/>
      <w:bookmarkStart w:id="51" w:name="_Toc7545"/>
      <w:bookmarkStart w:id="52" w:name="_Toc12161"/>
      <w:bookmarkStart w:id="53" w:name="_Toc15539"/>
      <w:bookmarkStart w:id="54" w:name="_Toc25968"/>
      <w:bookmarkStart w:id="55" w:name="_Toc16262"/>
      <w:bookmarkStart w:id="56" w:name="_Toc76129245"/>
      <w:bookmarkStart w:id="57" w:name="_Toc19459"/>
      <w:r>
        <w:rPr>
          <w:rFonts w:hint="default" w:ascii="Times New Roman" w:hAnsi="Times New Roman" w:eastAsia="黑体" w:cs="Times New Roman"/>
          <w:b w:val="0"/>
          <w:bCs w:val="0"/>
          <w:color w:val="000000" w:themeColor="text1"/>
          <w:sz w:val="32"/>
          <w:szCs w:val="32"/>
          <w:u w:val="none"/>
        </w:rPr>
        <w:t>一、单位职责</w:t>
      </w:r>
      <w:bookmarkEnd w:id="45"/>
      <w:bookmarkEnd w:id="46"/>
      <w:bookmarkEnd w:id="47"/>
      <w:bookmarkEnd w:id="48"/>
      <w:bookmarkEnd w:id="49"/>
      <w:bookmarkEnd w:id="50"/>
      <w:bookmarkEnd w:id="51"/>
      <w:bookmarkEnd w:id="52"/>
      <w:bookmarkEnd w:id="53"/>
      <w:bookmarkEnd w:id="54"/>
      <w:bookmarkEnd w:id="55"/>
      <w:bookmarkEnd w:id="56"/>
      <w:bookmarkEnd w:id="57"/>
    </w:p>
    <w:p>
      <w:pPr>
        <w:keepNext/>
        <w:keepLines/>
        <w:spacing w:before="156" w:after="156" w:line="360" w:lineRule="auto"/>
        <w:ind w:firstLine="640" w:firstLineChars="200"/>
        <w:rPr>
          <w:rFonts w:ascii="仿宋_GB2312" w:hAnsi="仿宋" w:eastAsia="仿宋_GB2312"/>
          <w:bCs/>
          <w:sz w:val="32"/>
          <w:szCs w:val="24"/>
        </w:rPr>
      </w:pPr>
      <w:r>
        <w:rPr>
          <w:rFonts w:hint="eastAsia" w:ascii="仿宋_GB2312" w:hAnsi="仿宋" w:eastAsia="仿宋_GB2312"/>
          <w:bCs/>
          <w:sz w:val="32"/>
          <w:szCs w:val="24"/>
        </w:rPr>
        <w:t>中国人口福利基金会（以下简称“人口基金会”）成立于</w:t>
      </w:r>
      <w:r>
        <w:rPr>
          <w:rFonts w:hint="eastAsia" w:ascii="仿宋_GB2312" w:hAnsi="Times New Roman" w:eastAsia="仿宋_GB2312"/>
          <w:sz w:val="32"/>
          <w:szCs w:val="32"/>
        </w:rPr>
        <w:t>1987</w:t>
      </w:r>
      <w:r>
        <w:rPr>
          <w:rFonts w:hint="eastAsia" w:ascii="仿宋_GB2312" w:hAnsi="仿宋" w:eastAsia="仿宋_GB2312"/>
          <w:bCs/>
          <w:sz w:val="32"/>
          <w:szCs w:val="24"/>
        </w:rPr>
        <w:t>年</w:t>
      </w:r>
      <w:r>
        <w:rPr>
          <w:rFonts w:hint="eastAsia" w:ascii="仿宋_GB2312" w:hAnsi="Times New Roman" w:eastAsia="仿宋_GB2312"/>
          <w:sz w:val="32"/>
          <w:szCs w:val="32"/>
        </w:rPr>
        <w:t>6</w:t>
      </w:r>
      <w:r>
        <w:rPr>
          <w:rFonts w:hint="eastAsia" w:ascii="仿宋_GB2312" w:hAnsi="仿宋" w:eastAsia="仿宋_GB2312"/>
          <w:bCs/>
          <w:sz w:val="32"/>
          <w:szCs w:val="24"/>
        </w:rPr>
        <w:t>月，是国家</w:t>
      </w:r>
      <w:r>
        <w:rPr>
          <w:rFonts w:hint="eastAsia" w:ascii="仿宋_GB2312" w:hAnsi="Times New Roman" w:eastAsia="仿宋_GB2312"/>
          <w:sz w:val="32"/>
          <w:szCs w:val="32"/>
        </w:rPr>
        <w:t>5A</w:t>
      </w:r>
      <w:r>
        <w:rPr>
          <w:rFonts w:hint="eastAsia" w:ascii="仿宋_GB2312" w:hAnsi="仿宋" w:eastAsia="仿宋_GB2312"/>
          <w:bCs/>
          <w:sz w:val="32"/>
          <w:szCs w:val="24"/>
        </w:rPr>
        <w:t>级公募非营利公益组织，国家卫生健康委员会二级预算单位。主要业务范围：募集资金，专项资助。人口基金会主要开展以下几项工作：</w:t>
      </w:r>
    </w:p>
    <w:p>
      <w:pPr>
        <w:pStyle w:val="38"/>
        <w:spacing w:beforeLines="0" w:afterLines="0" w:line="360" w:lineRule="auto"/>
        <w:ind w:firstLine="640"/>
        <w:rPr>
          <w:rFonts w:hint="eastAsia" w:ascii="仿宋_GB2312" w:hAnsi="仿宋" w:eastAsia="仿宋_GB2312"/>
          <w:bCs/>
          <w:sz w:val="32"/>
          <w:szCs w:val="24"/>
        </w:rPr>
      </w:pPr>
      <w:r>
        <w:rPr>
          <w:rFonts w:hint="eastAsia" w:ascii="仿宋_GB2312" w:hAnsi="仿宋" w:eastAsia="仿宋_GB2312"/>
          <w:bCs/>
          <w:sz w:val="32"/>
          <w:szCs w:val="24"/>
        </w:rPr>
        <w:t>（一）开展符合本基金会宗旨的资助、服务和救灾援助等项目或活动；</w:t>
      </w:r>
    </w:p>
    <w:p>
      <w:pPr>
        <w:pStyle w:val="38"/>
        <w:spacing w:beforeLines="0" w:afterLines="0" w:line="360" w:lineRule="auto"/>
        <w:ind w:firstLine="640"/>
        <w:rPr>
          <w:rFonts w:hint="eastAsia" w:ascii="仿宋_GB2312" w:hAnsi="仿宋" w:eastAsia="仿宋_GB2312"/>
          <w:bCs/>
          <w:sz w:val="32"/>
          <w:szCs w:val="24"/>
        </w:rPr>
      </w:pPr>
      <w:r>
        <w:rPr>
          <w:rFonts w:hint="eastAsia" w:ascii="仿宋_GB2312" w:hAnsi="仿宋" w:eastAsia="仿宋_GB2312"/>
          <w:bCs/>
          <w:sz w:val="32"/>
          <w:szCs w:val="24"/>
        </w:rPr>
        <w:t>（二）资助卫生健康、人口发展和计划生育等增进人口福利方面的研究，组织开展相关的调研、咨询与培训等活动；</w:t>
      </w:r>
    </w:p>
    <w:p>
      <w:pPr>
        <w:pStyle w:val="38"/>
        <w:spacing w:beforeLines="0" w:afterLines="0" w:line="360" w:lineRule="auto"/>
        <w:ind w:firstLine="640"/>
        <w:rPr>
          <w:rFonts w:hint="eastAsia" w:ascii="仿宋_GB2312" w:hAnsi="仿宋" w:eastAsia="仿宋_GB2312"/>
          <w:bCs/>
          <w:sz w:val="32"/>
          <w:szCs w:val="24"/>
        </w:rPr>
      </w:pPr>
      <w:r>
        <w:rPr>
          <w:rFonts w:hint="eastAsia" w:ascii="仿宋_GB2312" w:hAnsi="仿宋" w:eastAsia="仿宋_GB2312"/>
          <w:bCs/>
          <w:sz w:val="32"/>
          <w:szCs w:val="24"/>
        </w:rPr>
        <w:t>（三）依照有关规定，经批准，奖励为</w:t>
      </w:r>
      <w:bookmarkStart w:id="210" w:name="_GoBack"/>
      <w:bookmarkEnd w:id="210"/>
      <w:r>
        <w:rPr>
          <w:rFonts w:hint="eastAsia" w:ascii="仿宋_GB2312" w:hAnsi="仿宋" w:eastAsia="仿宋_GB2312"/>
          <w:bCs/>
          <w:sz w:val="32"/>
          <w:szCs w:val="24"/>
        </w:rPr>
        <w:t>我国人口工作、卫生健康等人口福利事业做出突出贡献的个人和团体；</w:t>
      </w:r>
    </w:p>
    <w:p>
      <w:pPr>
        <w:pStyle w:val="38"/>
        <w:spacing w:beforeLines="0" w:afterLines="0" w:line="360" w:lineRule="auto"/>
        <w:ind w:firstLine="640"/>
        <w:rPr>
          <w:rFonts w:hint="default" w:ascii="Times New Roman" w:hAnsi="Times New Roman" w:cs="Times New Roman"/>
          <w:b w:val="0"/>
          <w:bCs w:val="0"/>
          <w:snapToGrid w:val="0"/>
          <w:color w:val="000000" w:themeColor="text1"/>
          <w:kern w:val="0"/>
          <w:szCs w:val="22"/>
          <w:u w:val="none"/>
        </w:rPr>
      </w:pPr>
      <w:r>
        <w:rPr>
          <w:rFonts w:hint="eastAsia" w:ascii="仿宋_GB2312" w:hAnsi="仿宋" w:eastAsia="仿宋_GB2312"/>
          <w:bCs/>
          <w:sz w:val="32"/>
          <w:szCs w:val="24"/>
        </w:rPr>
        <w:t>（四）开展与人口福利相关的国际交流与合作。</w:t>
      </w:r>
    </w:p>
    <w:p>
      <w:pPr>
        <w:keepNext/>
        <w:keepLines/>
        <w:spacing w:before="156" w:after="156" w:line="360" w:lineRule="auto"/>
        <w:ind w:firstLine="640" w:firstLineChars="200"/>
        <w:outlineLvl w:val="1"/>
        <w:rPr>
          <w:rFonts w:hint="default" w:ascii="Times New Roman" w:hAnsi="Times New Roman" w:eastAsia="黑体" w:cs="Times New Roman"/>
          <w:b w:val="0"/>
          <w:bCs w:val="0"/>
          <w:color w:val="000000" w:themeColor="text1"/>
          <w:sz w:val="32"/>
          <w:szCs w:val="32"/>
          <w:u w:val="none"/>
        </w:rPr>
      </w:pPr>
      <w:bookmarkStart w:id="58" w:name="_Toc31211"/>
      <w:bookmarkStart w:id="59" w:name="_Toc31605"/>
      <w:bookmarkStart w:id="60" w:name="_Toc26637"/>
      <w:bookmarkStart w:id="61" w:name="_Toc21085"/>
      <w:bookmarkStart w:id="62" w:name="_Toc25367"/>
      <w:bookmarkStart w:id="63" w:name="_Toc15639"/>
      <w:bookmarkStart w:id="64" w:name="_Toc12853"/>
      <w:bookmarkStart w:id="65" w:name="_Toc76129246"/>
      <w:bookmarkStart w:id="66" w:name="_Toc27500"/>
      <w:bookmarkStart w:id="67" w:name="_Toc3941"/>
      <w:bookmarkStart w:id="68" w:name="_Toc8854"/>
      <w:bookmarkStart w:id="69" w:name="_Toc2534"/>
      <w:bookmarkStart w:id="70" w:name="_Toc21861"/>
      <w:r>
        <w:rPr>
          <w:rFonts w:hint="default" w:ascii="Times New Roman" w:hAnsi="Times New Roman" w:eastAsia="黑体" w:cs="Times New Roman"/>
          <w:b w:val="0"/>
          <w:bCs w:val="0"/>
          <w:color w:val="000000" w:themeColor="text1"/>
          <w:sz w:val="32"/>
          <w:szCs w:val="32"/>
          <w:u w:val="none"/>
        </w:rPr>
        <w:t>二、机构设置</w:t>
      </w:r>
      <w:bookmarkEnd w:id="58"/>
      <w:bookmarkEnd w:id="59"/>
      <w:bookmarkEnd w:id="60"/>
      <w:bookmarkEnd w:id="61"/>
      <w:bookmarkEnd w:id="62"/>
      <w:bookmarkEnd w:id="63"/>
      <w:bookmarkEnd w:id="64"/>
      <w:bookmarkEnd w:id="65"/>
      <w:bookmarkEnd w:id="66"/>
      <w:bookmarkEnd w:id="67"/>
      <w:bookmarkEnd w:id="68"/>
      <w:bookmarkEnd w:id="69"/>
      <w:bookmarkEnd w:id="70"/>
    </w:p>
    <w:p>
      <w:pPr>
        <w:adjustRightInd w:val="0"/>
        <w:snapToGrid w:val="0"/>
        <w:spacing w:before="120" w:after="120" w:line="360" w:lineRule="auto"/>
        <w:ind w:firstLine="640" w:firstLineChars="200"/>
        <w:rPr>
          <w:rFonts w:ascii="Times New Roman" w:hAnsi="Times New Roman" w:eastAsia="黑体"/>
          <w:snapToGrid w:val="0"/>
          <w:color w:val="000000" w:themeColor="text1"/>
          <w:kern w:val="0"/>
          <w:sz w:val="36"/>
          <w:szCs w:val="36"/>
        </w:rPr>
      </w:pPr>
      <w:r>
        <w:rPr>
          <w:rFonts w:hint="eastAsia" w:ascii="仿宋_GB2312" w:hAnsi="仿宋" w:eastAsia="仿宋_GB2312" w:cs="仿宋"/>
          <w:bCs/>
          <w:color w:val="000000"/>
          <w:sz w:val="32"/>
          <w:szCs w:val="32"/>
        </w:rPr>
        <w:t>我会为独立核算的法人机构，内设</w:t>
      </w:r>
      <w:r>
        <w:rPr>
          <w:rFonts w:hint="eastAsia" w:ascii="仿宋_GB2312" w:hAnsi="Times New Roman" w:eastAsia="仿宋_GB2312"/>
          <w:bCs/>
          <w:color w:val="000000"/>
          <w:sz w:val="32"/>
          <w:szCs w:val="32"/>
        </w:rPr>
        <w:t>7</w:t>
      </w:r>
      <w:r>
        <w:rPr>
          <w:rFonts w:hint="eastAsia" w:ascii="仿宋_GB2312" w:hAnsi="仿宋" w:eastAsia="仿宋_GB2312" w:cs="仿宋"/>
          <w:bCs/>
          <w:color w:val="000000"/>
          <w:sz w:val="32"/>
          <w:szCs w:val="32"/>
        </w:rPr>
        <w:t>个业务职能部门：党务人事部、办公室、财务资产部、宣传推广部、国内</w:t>
      </w:r>
      <w:r>
        <w:rPr>
          <w:rFonts w:hint="eastAsia" w:ascii="仿宋_GB2312" w:hAnsi="仿宋" w:eastAsia="仿宋_GB2312" w:cs="仿宋"/>
          <w:bCs/>
          <w:color w:val="000000"/>
          <w:sz w:val="32"/>
          <w:szCs w:val="32"/>
          <w:lang w:eastAsia="zh-CN"/>
        </w:rPr>
        <w:t>项目</w:t>
      </w:r>
      <w:r>
        <w:rPr>
          <w:rFonts w:hint="eastAsia" w:ascii="仿宋_GB2312" w:hAnsi="仿宋" w:eastAsia="仿宋_GB2312" w:cs="仿宋"/>
          <w:bCs/>
          <w:color w:val="000000"/>
          <w:sz w:val="32"/>
          <w:szCs w:val="32"/>
        </w:rPr>
        <w:t>部、国际合作部、社会联络部。</w:t>
      </w:r>
      <w:r>
        <w:rPr>
          <w:rFonts w:hint="eastAsia" w:ascii="仿宋_GB2312" w:hAnsi="仿宋" w:eastAsia="仿宋_GB2312"/>
          <w:bCs/>
          <w:sz w:val="32"/>
          <w:szCs w:val="24"/>
        </w:rPr>
        <w:t>建有党支部、工会（妇女小组）和团支部等党政群团组织。</w:t>
      </w:r>
    </w:p>
    <w:p>
      <w:pPr>
        <w:adjustRightInd w:val="0"/>
        <w:snapToGrid w:val="0"/>
        <w:spacing w:before="120" w:after="120" w:line="360" w:lineRule="auto"/>
        <w:ind w:firstLine="720" w:firstLineChars="200"/>
        <w:rPr>
          <w:rFonts w:ascii="Times New Roman" w:hAnsi="Times New Roman" w:eastAsia="黑体"/>
          <w:snapToGrid w:val="0"/>
          <w:color w:val="000000" w:themeColor="text1"/>
          <w:kern w:val="0"/>
          <w:sz w:val="36"/>
          <w:szCs w:val="36"/>
        </w:rPr>
        <w:sectPr>
          <w:footerReference r:id="rId4" w:type="default"/>
          <w:pgSz w:w="11907" w:h="16840"/>
          <w:pgMar w:top="1440" w:right="1191" w:bottom="1440" w:left="1247" w:header="964" w:footer="992" w:gutter="0"/>
          <w:pgNumType w:fmt="decimal" w:start="1"/>
          <w:cols w:space="720" w:num="1"/>
          <w:docGrid w:linePitch="381" w:charSpace="0"/>
        </w:sectPr>
      </w:pPr>
    </w:p>
    <w:p>
      <w:pPr>
        <w:pStyle w:val="38"/>
        <w:spacing w:beforeLines="0" w:after="120"/>
        <w:ind w:firstLine="640"/>
        <w:rPr>
          <w:rFonts w:hint="default" w:ascii="Times New Roman" w:hAnsi="Times New Roman" w:cs="Times New Roman"/>
          <w:b w:val="0"/>
          <w:bCs w:val="0"/>
          <w:color w:val="000000" w:themeColor="text1"/>
          <w:szCs w:val="22"/>
          <w:u w:val="none"/>
        </w:rPr>
      </w:pPr>
    </w:p>
    <w:p>
      <w:pPr>
        <w:pStyle w:val="4"/>
        <w:keepNext/>
        <w:keepLines/>
        <w:pageBreakBefore w:val="0"/>
        <w:widowControl w:val="0"/>
        <w:numPr>
          <w:ilvl w:val="0"/>
          <w:numId w:val="0"/>
        </w:numPr>
        <w:kinsoku/>
        <w:wordWrap/>
        <w:overflowPunct/>
        <w:topLinePunct w:val="0"/>
        <w:autoSpaceDE/>
        <w:autoSpaceDN/>
        <w:bidi w:val="0"/>
        <w:adjustRightInd/>
        <w:snapToGrid/>
        <w:spacing w:afterLines="0" w:line="240" w:lineRule="auto"/>
        <w:textAlignment w:val="auto"/>
        <w:rPr>
          <w:rFonts w:hint="default" w:ascii="Times New Roman" w:hAnsi="Times New Roman" w:cs="Times New Roman"/>
          <w:b w:val="0"/>
          <w:bCs w:val="0"/>
          <w:color w:val="000000" w:themeColor="text1"/>
          <w:u w:val="none"/>
        </w:rPr>
      </w:pPr>
      <w:bookmarkStart w:id="71" w:name="_Toc2272"/>
      <w:bookmarkStart w:id="72" w:name="_Toc12141"/>
      <w:r>
        <w:rPr>
          <w:rFonts w:hint="eastAsia" w:cs="Times New Roman"/>
          <w:b w:val="0"/>
          <w:bCs w:val="0"/>
          <w:color w:val="000000" w:themeColor="text1"/>
          <w:u w:val="none"/>
          <w:lang w:eastAsia="zh-CN"/>
        </w:rPr>
        <w:t>第二部分</w:t>
      </w:r>
      <w:r>
        <w:rPr>
          <w:rFonts w:hint="default" w:ascii="Times New Roman" w:hAnsi="Times New Roman" w:cs="Times New Roman"/>
          <w:b w:val="0"/>
          <w:bCs w:val="0"/>
          <w:color w:val="000000" w:themeColor="text1"/>
          <w:u w:val="none"/>
        </w:rPr>
        <w:t xml:space="preserve"> </w:t>
      </w:r>
      <w:bookmarkStart w:id="73" w:name="_Toc7219"/>
      <w:bookmarkStart w:id="74" w:name="_Toc2208"/>
      <w:bookmarkStart w:id="75" w:name="_Toc6171"/>
      <w:bookmarkStart w:id="76" w:name="_Toc9165"/>
      <w:bookmarkStart w:id="77" w:name="_Toc3206"/>
      <w:bookmarkStart w:id="78" w:name="_Toc13953"/>
      <w:bookmarkStart w:id="79" w:name="_Toc31592"/>
      <w:bookmarkStart w:id="80" w:name="_Toc30833"/>
      <w:bookmarkStart w:id="81" w:name="_Toc26580"/>
      <w:bookmarkStart w:id="82" w:name="_Toc76129247"/>
      <w:bookmarkStart w:id="83" w:name="_Toc26504"/>
      <w:r>
        <w:rPr>
          <w:rFonts w:hint="eastAsia" w:cs="Times New Roman"/>
          <w:b w:val="0"/>
          <w:bCs w:val="0"/>
          <w:color w:val="000000" w:themeColor="text1"/>
          <w:u w:val="none"/>
          <w:lang w:eastAsia="zh-CN"/>
        </w:rPr>
        <w:t>中国人口福利基金会</w:t>
      </w:r>
      <w:r>
        <w:rPr>
          <w:rFonts w:hint="default" w:ascii="Times New Roman" w:hAnsi="Times New Roman" w:cs="Times New Roman"/>
          <w:b w:val="0"/>
          <w:bCs w:val="0"/>
          <w:color w:val="000000" w:themeColor="text1"/>
          <w:u w:val="none"/>
        </w:rPr>
        <w:t>202</w:t>
      </w:r>
      <w:r>
        <w:rPr>
          <w:rFonts w:hint="eastAsia" w:cs="Times New Roman"/>
          <w:b w:val="0"/>
          <w:bCs w:val="0"/>
          <w:color w:val="000000" w:themeColor="text1"/>
          <w:u w:val="none"/>
          <w:lang w:val="en-US" w:eastAsia="zh-CN"/>
        </w:rPr>
        <w:t>2</w:t>
      </w:r>
      <w:r>
        <w:rPr>
          <w:rFonts w:hint="default" w:ascii="Times New Roman" w:hAnsi="Times New Roman" w:cs="Times New Roman"/>
          <w:b w:val="0"/>
          <w:bCs w:val="0"/>
          <w:color w:val="000000" w:themeColor="text1"/>
          <w:u w:val="none"/>
        </w:rPr>
        <w:t>年度</w:t>
      </w:r>
      <w:r>
        <w:rPr>
          <w:rFonts w:hint="default" w:ascii="Times New Roman" w:hAnsi="Times New Roman" w:cs="Times New Roman"/>
          <w:b w:val="0"/>
          <w:bCs w:val="0"/>
          <w:color w:val="000000" w:themeColor="text1"/>
          <w:u w:val="none"/>
          <w:lang w:eastAsia="zh-CN"/>
        </w:rPr>
        <w:t>单位</w:t>
      </w:r>
      <w:r>
        <w:rPr>
          <w:rFonts w:hint="default" w:ascii="Times New Roman" w:hAnsi="Times New Roman" w:cs="Times New Roman"/>
          <w:b w:val="0"/>
          <w:bCs w:val="0"/>
          <w:color w:val="000000" w:themeColor="text1"/>
          <w:u w:val="none"/>
        </w:rPr>
        <w:t>决算表</w:t>
      </w:r>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b w:val="0"/>
          <w:bCs w:val="0"/>
          <w:color w:val="000000" w:themeColor="text1"/>
          <w:sz w:val="32"/>
          <w:szCs w:val="32"/>
          <w:u w:val="none"/>
        </w:rPr>
      </w:pPr>
      <w:bookmarkStart w:id="84" w:name="_Toc20757"/>
      <w:bookmarkStart w:id="85" w:name="_Toc22697"/>
      <w:bookmarkStart w:id="86" w:name="_Toc29858"/>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cs="Times New Roman"/>
          <w:b/>
          <w:bCs/>
          <w:i w:val="0"/>
          <w:iCs w:val="0"/>
        </w:rPr>
      </w:pPr>
      <w:bookmarkStart w:id="87" w:name="_Toc8306"/>
      <w:bookmarkStart w:id="88" w:name="_Toc13691"/>
      <w:r>
        <w:rPr>
          <w:rFonts w:hint="default" w:ascii="Times New Roman" w:hAnsi="Times New Roman" w:eastAsia="宋体" w:cs="Times New Roman"/>
          <w:b/>
          <w:bCs/>
          <w:i w:val="0"/>
          <w:iCs w:val="0"/>
          <w:color w:val="000000" w:themeColor="text1"/>
          <w:sz w:val="32"/>
          <w:szCs w:val="32"/>
          <w:u w:val="none"/>
        </w:rPr>
        <w:t>收入支出决算总表</w:t>
      </w:r>
      <w:bookmarkEnd w:id="84"/>
      <w:bookmarkEnd w:id="85"/>
      <w:bookmarkEnd w:id="86"/>
      <w:bookmarkEnd w:id="87"/>
      <w:bookmarkEnd w:id="88"/>
    </w:p>
    <w:p>
      <w:pPr>
        <w:rPr>
          <w:rFonts w:hint="default" w:ascii="Times New Roman" w:hAnsi="Times New Roman" w:cs="Times New Roman"/>
          <w:b w:val="0"/>
          <w:bCs w:val="0"/>
        </w:rPr>
      </w:pPr>
    </w:p>
    <w:tbl>
      <w:tblPr>
        <w:tblStyle w:val="20"/>
        <w:tblW w:w="13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04"/>
        <w:gridCol w:w="1067"/>
        <w:gridCol w:w="4787"/>
        <w:gridCol w:w="1"/>
        <w:gridCol w:w="605"/>
        <w:gridCol w:w="1"/>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jc w:val="center"/>
        </w:trPr>
        <w:tc>
          <w:tcPr>
            <w:tcW w:w="5104"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06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8"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606"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470"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106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8"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606"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470"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决算数</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行次</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    次</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    次</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一、一般公共预算财政拨款收入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230</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一、一般公共服务支出</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二、政府性基金预算财政拨款收入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二、外交支出</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三、国有资本经营预算财政拨款收入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三、国防支出</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四、上级补助收入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四、公共安全支出</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17</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五、事业收入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五、教育支出</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18</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六、经营收入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六、科学技术支出</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19</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七、附属单位上缴收入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七、卫生健康支出</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20</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sz w:val="20"/>
                <w:szCs w:val="20"/>
                <w:u w:val="none"/>
              </w:rPr>
              <w:t>46</w:t>
            </w:r>
            <w:r>
              <w:rPr>
                <w:rFonts w:hint="eastAsia" w:ascii="Times New Roman" w:hAnsi="Times New Roman" w:cs="Times New Roman"/>
                <w:b w:val="0"/>
                <w:bCs w:val="0"/>
                <w:i w:val="0"/>
                <w:color w:val="000000" w:themeColor="text1"/>
                <w:sz w:val="20"/>
                <w:szCs w:val="20"/>
                <w:u w:val="none"/>
                <w:lang w:val="en-US" w:eastAsia="zh-CN"/>
              </w:rPr>
              <w:t>,</w:t>
            </w:r>
            <w:r>
              <w:rPr>
                <w:rFonts w:hint="default" w:ascii="Times New Roman" w:hAnsi="Times New Roman" w:eastAsia="宋体" w:cs="Times New Roman"/>
                <w:b w:val="0"/>
                <w:bCs w:val="0"/>
                <w:i w:val="0"/>
                <w:color w:val="000000" w:themeColor="text1"/>
                <w:sz w:val="20"/>
                <w:szCs w:val="20"/>
                <w:u w:val="none"/>
              </w:rPr>
              <w:t>198.74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八、其他收入</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44,638.15</w:t>
            </w: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21</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22</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本年收入合计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sz w:val="20"/>
                <w:szCs w:val="20"/>
                <w:u w:val="none"/>
                <w:lang w:val="en-US" w:eastAsia="zh-CN"/>
              </w:rPr>
              <w:t>44</w:t>
            </w:r>
            <w:r>
              <w:rPr>
                <w:rFonts w:hint="eastAsia" w:ascii="Times New Roman" w:hAnsi="Times New Roman" w:cs="Times New Roman"/>
                <w:b w:val="0"/>
                <w:bCs w:val="0"/>
                <w:i w:val="0"/>
                <w:color w:val="000000" w:themeColor="text1"/>
                <w:sz w:val="20"/>
                <w:szCs w:val="20"/>
                <w:u w:val="none"/>
                <w:lang w:val="en-US" w:eastAsia="zh-CN"/>
              </w:rPr>
              <w:t>,</w:t>
            </w:r>
            <w:r>
              <w:rPr>
                <w:rFonts w:hint="default" w:ascii="Times New Roman" w:hAnsi="Times New Roman" w:cs="Times New Roman"/>
                <w:b w:val="0"/>
                <w:bCs w:val="0"/>
                <w:i w:val="0"/>
                <w:color w:val="000000" w:themeColor="text1"/>
                <w:sz w:val="20"/>
                <w:szCs w:val="20"/>
                <w:u w:val="none"/>
                <w:lang w:val="en-US" w:eastAsia="zh-CN"/>
              </w:rPr>
              <w:t>868.15</w:t>
            </w: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本年支出合计</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23</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sz w:val="20"/>
                <w:szCs w:val="20"/>
                <w:u w:val="none"/>
              </w:rPr>
              <w:t>46</w:t>
            </w:r>
            <w:r>
              <w:rPr>
                <w:rFonts w:hint="eastAsia" w:ascii="Times New Roman" w:hAnsi="Times New Roman" w:cs="Times New Roman"/>
                <w:b w:val="0"/>
                <w:bCs w:val="0"/>
                <w:i w:val="0"/>
                <w:color w:val="000000" w:themeColor="text1"/>
                <w:sz w:val="20"/>
                <w:szCs w:val="20"/>
                <w:u w:val="none"/>
                <w:lang w:val="en-US" w:eastAsia="zh-CN"/>
              </w:rPr>
              <w:t>,</w:t>
            </w:r>
            <w:r>
              <w:rPr>
                <w:rFonts w:hint="default" w:ascii="Times New Roman" w:hAnsi="Times New Roman" w:eastAsia="宋体" w:cs="Times New Roman"/>
                <w:b w:val="0"/>
                <w:bCs w:val="0"/>
                <w:i w:val="0"/>
                <w:color w:val="000000" w:themeColor="text1"/>
                <w:sz w:val="20"/>
                <w:szCs w:val="20"/>
                <w:u w:val="none"/>
              </w:rPr>
              <w:t>198.74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使用非财政拨款结余</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结余分配</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24</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sz w:val="20"/>
                <w:szCs w:val="20"/>
                <w:u w:val="none"/>
              </w:rPr>
              <w:t>377.63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年初结转和结余</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sz w:val="20"/>
                <w:szCs w:val="20"/>
                <w:u w:val="none"/>
              </w:rPr>
              <w:t>45</w:t>
            </w:r>
            <w:r>
              <w:rPr>
                <w:rFonts w:hint="eastAsia" w:ascii="Times New Roman" w:hAnsi="Times New Roman" w:cs="Times New Roman"/>
                <w:b w:val="0"/>
                <w:bCs w:val="0"/>
                <w:i w:val="0"/>
                <w:color w:val="000000" w:themeColor="text1"/>
                <w:sz w:val="20"/>
                <w:szCs w:val="20"/>
                <w:u w:val="none"/>
                <w:lang w:val="en-US" w:eastAsia="zh-CN"/>
              </w:rPr>
              <w:t>,</w:t>
            </w:r>
            <w:r>
              <w:rPr>
                <w:rFonts w:hint="default" w:ascii="Times New Roman" w:hAnsi="Times New Roman" w:eastAsia="宋体" w:cs="Times New Roman"/>
                <w:b w:val="0"/>
                <w:bCs w:val="0"/>
                <w:i w:val="0"/>
                <w:color w:val="000000" w:themeColor="text1"/>
                <w:sz w:val="20"/>
                <w:szCs w:val="20"/>
                <w:u w:val="none"/>
              </w:rPr>
              <w:t>072.28</w:t>
            </w:r>
          </w:p>
        </w:tc>
        <w:tc>
          <w:tcPr>
            <w:tcW w:w="4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年末结转和结余</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25</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sz w:val="20"/>
                <w:szCs w:val="20"/>
                <w:u w:val="none"/>
              </w:rPr>
              <w:t>43</w:t>
            </w:r>
            <w:r>
              <w:rPr>
                <w:rFonts w:hint="eastAsia" w:ascii="Times New Roman" w:hAnsi="Times New Roman" w:cs="Times New Roman"/>
                <w:b w:val="0"/>
                <w:bCs w:val="0"/>
                <w:i w:val="0"/>
                <w:color w:val="000000" w:themeColor="text1"/>
                <w:sz w:val="20"/>
                <w:szCs w:val="20"/>
                <w:u w:val="none"/>
                <w:lang w:val="en-US" w:eastAsia="zh-CN"/>
              </w:rPr>
              <w:t>,</w:t>
            </w:r>
            <w:r>
              <w:rPr>
                <w:rFonts w:hint="default" w:ascii="Times New Roman" w:hAnsi="Times New Roman" w:eastAsia="宋体" w:cs="Times New Roman"/>
                <w:b w:val="0"/>
                <w:bCs w:val="0"/>
                <w:i w:val="0"/>
                <w:color w:val="000000" w:themeColor="text1"/>
                <w:sz w:val="20"/>
                <w:szCs w:val="20"/>
                <w:u w:val="none"/>
              </w:rPr>
              <w:t>364.06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104"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总计</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sz w:val="20"/>
                <w:szCs w:val="20"/>
                <w:u w:val="none"/>
              </w:rPr>
              <w:t>89</w:t>
            </w:r>
            <w:r>
              <w:rPr>
                <w:rFonts w:hint="eastAsia" w:ascii="Times New Roman" w:hAnsi="Times New Roman" w:cs="Times New Roman"/>
                <w:b w:val="0"/>
                <w:bCs w:val="0"/>
                <w:i w:val="0"/>
                <w:color w:val="000000" w:themeColor="text1"/>
                <w:sz w:val="20"/>
                <w:szCs w:val="20"/>
                <w:u w:val="none"/>
                <w:lang w:val="en-US" w:eastAsia="zh-CN"/>
              </w:rPr>
              <w:t>,</w:t>
            </w:r>
            <w:r>
              <w:rPr>
                <w:rFonts w:hint="default" w:ascii="Times New Roman" w:hAnsi="Times New Roman" w:eastAsia="宋体" w:cs="Times New Roman"/>
                <w:b w:val="0"/>
                <w:bCs w:val="0"/>
                <w:i w:val="0"/>
                <w:color w:val="000000" w:themeColor="text1"/>
                <w:sz w:val="20"/>
                <w:szCs w:val="20"/>
                <w:u w:val="none"/>
              </w:rPr>
              <w:t>940.44</w:t>
            </w:r>
          </w:p>
        </w:tc>
        <w:tc>
          <w:tcPr>
            <w:tcW w:w="478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总计</w:t>
            </w:r>
          </w:p>
        </w:tc>
        <w:tc>
          <w:tcPr>
            <w:tcW w:w="60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26</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sz w:val="20"/>
                <w:szCs w:val="20"/>
                <w:u w:val="none"/>
              </w:rPr>
              <w:t>89</w:t>
            </w:r>
            <w:r>
              <w:rPr>
                <w:rFonts w:hint="eastAsia" w:ascii="Times New Roman" w:hAnsi="Times New Roman" w:cs="Times New Roman"/>
                <w:b w:val="0"/>
                <w:bCs w:val="0"/>
                <w:i w:val="0"/>
                <w:color w:val="000000" w:themeColor="text1"/>
                <w:sz w:val="20"/>
                <w:szCs w:val="20"/>
                <w:u w:val="none"/>
                <w:lang w:val="en-US" w:eastAsia="zh-CN"/>
              </w:rPr>
              <w:t>,</w:t>
            </w:r>
            <w:r>
              <w:rPr>
                <w:rFonts w:hint="default" w:ascii="Times New Roman" w:hAnsi="Times New Roman" w:eastAsia="宋体" w:cs="Times New Roman"/>
                <w:b w:val="0"/>
                <w:bCs w:val="0"/>
                <w:i w:val="0"/>
                <w:color w:val="000000" w:themeColor="text1"/>
                <w:sz w:val="20"/>
                <w:szCs w:val="20"/>
                <w:u w:val="none"/>
              </w:rPr>
              <w:t>940.44</w:t>
            </w:r>
          </w:p>
        </w:tc>
      </w:tr>
    </w:tbl>
    <w:p>
      <w:pPr>
        <w:rPr>
          <w:rFonts w:hint="default" w:ascii="Times New Roman" w:hAnsi="Times New Roman" w:cs="Times New Roman"/>
          <w:b w:val="0"/>
          <w:bCs w:val="0"/>
          <w:color w:val="000000" w:themeColor="text1"/>
          <w:u w:val="none"/>
        </w:rPr>
        <w:sectPr>
          <w:headerReference r:id="rId5" w:type="default"/>
          <w:footerReference r:id="rId6" w:type="default"/>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cs="Times New Roman"/>
          <w:b/>
          <w:bCs/>
          <w:sz w:val="30"/>
          <w:szCs w:val="30"/>
        </w:rPr>
      </w:pPr>
      <w:bookmarkStart w:id="89" w:name="_Toc17102"/>
      <w:bookmarkStart w:id="90" w:name="_Toc6272"/>
      <w:bookmarkStart w:id="91" w:name="_Toc22024"/>
      <w:bookmarkStart w:id="92" w:name="_Toc5095"/>
      <w:bookmarkStart w:id="93" w:name="_Toc14588"/>
      <w:r>
        <w:rPr>
          <w:rFonts w:hint="default" w:ascii="Times New Roman" w:hAnsi="Times New Roman" w:cs="Times New Roman"/>
          <w:b/>
          <w:bCs/>
          <w:sz w:val="30"/>
          <w:szCs w:val="30"/>
          <w:lang w:val="en-US" w:eastAsia="zh-CN"/>
        </w:rPr>
        <w:t>收入决算表</w:t>
      </w:r>
      <w:bookmarkEnd w:id="89"/>
      <w:bookmarkEnd w:id="90"/>
      <w:bookmarkEnd w:id="91"/>
      <w:bookmarkEnd w:id="92"/>
      <w:bookmarkEnd w:id="93"/>
    </w:p>
    <w:tbl>
      <w:tblPr>
        <w:tblStyle w:val="20"/>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27"/>
        <w:gridCol w:w="43"/>
        <w:gridCol w:w="47"/>
        <w:gridCol w:w="1921"/>
        <w:gridCol w:w="935"/>
        <w:gridCol w:w="1571"/>
        <w:gridCol w:w="1571"/>
        <w:gridCol w:w="1571"/>
        <w:gridCol w:w="1572"/>
        <w:gridCol w:w="1571"/>
        <w:gridCol w:w="2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102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90"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92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935"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2"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151"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027"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90"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92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935"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2"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151"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038"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本年收入合计</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财政拨款收入</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上级补助收入</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事业收入</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经营收入</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附属单位上缴收入</w:t>
            </w:r>
          </w:p>
        </w:tc>
        <w:tc>
          <w:tcPr>
            <w:tcW w:w="21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功能分类科目编码</w:t>
            </w:r>
          </w:p>
        </w:tc>
        <w:tc>
          <w:tcPr>
            <w:tcW w:w="196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6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03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栏次</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6</w:t>
            </w:r>
          </w:p>
        </w:tc>
        <w:tc>
          <w:tcPr>
            <w:tcW w:w="2151"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038"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r>
              <w:rPr>
                <w:rFonts w:hint="eastAsia" w:ascii="Times New Roman" w:hAnsi="Times New Roman" w:eastAsia="宋体" w:cs="Times New Roman"/>
                <w:b/>
                <w:bCs/>
                <w:i w:val="0"/>
                <w:color w:val="000000" w:themeColor="text1"/>
                <w:kern w:val="0"/>
                <w:sz w:val="20"/>
                <w:szCs w:val="20"/>
                <w:u w:val="none"/>
                <w:lang w:val="en-US" w:eastAsia="zh-CN" w:bidi="ar"/>
              </w:rPr>
              <w:t>44,868.15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r>
              <w:rPr>
                <w:rFonts w:hint="eastAsia" w:ascii="Times New Roman" w:hAnsi="Times New Roman" w:eastAsia="宋体" w:cs="Times New Roman"/>
                <w:b/>
                <w:bCs/>
                <w:i w:val="0"/>
                <w:color w:val="000000" w:themeColor="text1"/>
                <w:kern w:val="0"/>
                <w:sz w:val="20"/>
                <w:szCs w:val="20"/>
                <w:u w:val="none"/>
                <w:lang w:val="en-US" w:eastAsia="zh-CN" w:bidi="ar"/>
              </w:rPr>
              <w:t>230.00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r>
              <w:rPr>
                <w:rFonts w:hint="eastAsia" w:ascii="Times New Roman" w:hAnsi="Times New Roman" w:eastAsia="宋体" w:cs="Times New Roman"/>
                <w:b/>
                <w:bCs/>
                <w:i w:val="0"/>
                <w:color w:val="000000" w:themeColor="text1"/>
                <w:kern w:val="0"/>
                <w:sz w:val="20"/>
                <w:szCs w:val="20"/>
                <w:u w:val="none"/>
                <w:lang w:val="en-US" w:eastAsia="zh-CN" w:bidi="ar"/>
              </w:rPr>
              <w:t>44,638.15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卫生健康支出</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44,868.15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230.00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44,638.15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21007</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计划生育事务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44,868.15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230.00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44,638.15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2100717</w:t>
            </w: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 xml:space="preserve">  </w:t>
            </w:r>
            <w:r>
              <w:rPr>
                <w:rFonts w:hint="eastAsia" w:ascii="Times New Roman" w:hAnsi="Times New Roman" w:cs="Times New Roman"/>
                <w:b w:val="0"/>
                <w:bCs w:val="0"/>
                <w:i w:val="0"/>
                <w:color w:val="000000" w:themeColor="text1"/>
                <w:kern w:val="0"/>
                <w:sz w:val="20"/>
                <w:szCs w:val="20"/>
                <w:u w:val="none"/>
                <w:lang w:val="en-US" w:eastAsia="zh-CN" w:bidi="ar"/>
              </w:rPr>
              <w:t xml:space="preserve">  </w:t>
            </w:r>
            <w:r>
              <w:rPr>
                <w:rFonts w:hint="eastAsia" w:ascii="Times New Roman" w:hAnsi="Times New Roman" w:eastAsia="宋体" w:cs="Times New Roman"/>
                <w:b w:val="0"/>
                <w:bCs w:val="0"/>
                <w:i w:val="0"/>
                <w:color w:val="000000" w:themeColor="text1"/>
                <w:kern w:val="0"/>
                <w:sz w:val="20"/>
                <w:szCs w:val="20"/>
                <w:u w:val="none"/>
                <w:lang w:val="en-US" w:eastAsia="zh-CN" w:bidi="ar"/>
              </w:rPr>
              <w:t>计划生育服务</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44,868.15</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230.00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44,638.15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9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3980" w:type="dxa"/>
            <w:gridSpan w:val="11"/>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default"/>
                <w:lang w:val="en-US" w:eastAsia="zh-CN"/>
              </w:rPr>
              <w:t>注：本表反映单位本年度取得的各项收入情况。</w:t>
            </w:r>
          </w:p>
        </w:tc>
      </w:tr>
    </w:tbl>
    <w:p>
      <w:pPr>
        <w:numPr>
          <w:ilvl w:val="255"/>
          <w:numId w:val="0"/>
        </w:numPr>
        <w:rPr>
          <w:rFonts w:hint="default" w:ascii="Times New Roman" w:hAnsi="Times New Roman" w:cs="Times New Roman"/>
          <w:b w:val="0"/>
          <w:bCs w:val="0"/>
          <w:color w:val="000000" w:themeColor="text1"/>
          <w:u w:val="none"/>
        </w:rPr>
      </w:pPr>
    </w:p>
    <w:p>
      <w:pPr>
        <w:widowControl/>
        <w:jc w:val="left"/>
        <w:textAlignment w:val="center"/>
        <w:rPr>
          <w:rFonts w:hint="default" w:ascii="Times New Roman" w:hAnsi="Times New Roman" w:cs="Times New Roman"/>
          <w:b w:val="0"/>
          <w:bCs w:val="0"/>
          <w:color w:val="000000" w:themeColor="text1"/>
          <w:kern w:val="0"/>
          <w:sz w:val="22"/>
          <w:u w:val="none"/>
        </w:rPr>
        <w:sectPr>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cs="Times New Roman"/>
          <w:b/>
          <w:bCs/>
          <w:sz w:val="32"/>
          <w:szCs w:val="32"/>
        </w:rPr>
      </w:pPr>
      <w:bookmarkStart w:id="94" w:name="_Toc25662"/>
      <w:bookmarkStart w:id="95" w:name="_Toc26540"/>
      <w:bookmarkStart w:id="96" w:name="_Toc26767"/>
      <w:bookmarkStart w:id="97" w:name="_Toc12431"/>
      <w:bookmarkStart w:id="98" w:name="_Toc22980"/>
      <w:r>
        <w:rPr>
          <w:rFonts w:hint="default" w:ascii="Times New Roman" w:hAnsi="Times New Roman" w:cs="Times New Roman"/>
          <w:b/>
          <w:bCs/>
          <w:sz w:val="32"/>
          <w:szCs w:val="32"/>
          <w:lang w:val="en-US" w:eastAsia="zh-CN"/>
        </w:rPr>
        <w:t>支出决算表</w:t>
      </w:r>
      <w:bookmarkEnd w:id="94"/>
      <w:bookmarkEnd w:id="95"/>
      <w:bookmarkEnd w:id="96"/>
      <w:bookmarkEnd w:id="97"/>
      <w:bookmarkEnd w:id="98"/>
    </w:p>
    <w:tbl>
      <w:tblPr>
        <w:tblStyle w:val="20"/>
        <w:tblW w:w="12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7"/>
        <w:gridCol w:w="47"/>
        <w:gridCol w:w="43"/>
        <w:gridCol w:w="1686"/>
        <w:gridCol w:w="1415"/>
        <w:gridCol w:w="1796"/>
        <w:gridCol w:w="1796"/>
        <w:gridCol w:w="1797"/>
        <w:gridCol w:w="2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112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90"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686"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415"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27"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90"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686"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415"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2903"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本年支出合计</w:t>
            </w:r>
          </w:p>
        </w:tc>
        <w:tc>
          <w:tcPr>
            <w:tcW w:w="1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基本支出</w:t>
            </w:r>
          </w:p>
        </w:tc>
        <w:tc>
          <w:tcPr>
            <w:tcW w:w="1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上缴上级支出</w:t>
            </w: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经营支出</w:t>
            </w:r>
          </w:p>
        </w:tc>
        <w:tc>
          <w:tcPr>
            <w:tcW w:w="247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7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功能分类科目编码</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47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47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2903"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栏次</w:t>
            </w:r>
          </w:p>
        </w:tc>
        <w:tc>
          <w:tcPr>
            <w:tcW w:w="1415"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4</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5</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2903"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r>
              <w:rPr>
                <w:rFonts w:hint="eastAsia" w:ascii="Times New Roman" w:hAnsi="Times New Roman" w:eastAsia="宋体" w:cs="Times New Roman"/>
                <w:b/>
                <w:bCs/>
                <w:i w:val="0"/>
                <w:color w:val="000000" w:themeColor="text1"/>
                <w:kern w:val="0"/>
                <w:sz w:val="20"/>
                <w:szCs w:val="20"/>
                <w:u w:val="none"/>
                <w:lang w:val="en-US" w:eastAsia="zh-CN" w:bidi="ar"/>
              </w:rPr>
              <w:t>46,198.74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r>
              <w:rPr>
                <w:rFonts w:hint="eastAsia" w:ascii="Times New Roman" w:hAnsi="Times New Roman" w:eastAsia="宋体" w:cs="Times New Roman"/>
                <w:b/>
                <w:bCs/>
                <w:i w:val="0"/>
                <w:color w:val="000000" w:themeColor="text1"/>
                <w:kern w:val="0"/>
                <w:sz w:val="20"/>
                <w:szCs w:val="20"/>
                <w:u w:val="none"/>
                <w:lang w:val="en-US" w:eastAsia="zh-CN" w:bidi="ar"/>
              </w:rPr>
              <w:t>1,997.43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color w:val="000000" w:themeColor="text1"/>
                <w:kern w:val="0"/>
                <w:sz w:val="20"/>
                <w:szCs w:val="20"/>
                <w:u w:val="none"/>
                <w:lang w:val="en-US" w:eastAsia="zh-CN" w:bidi="ar"/>
              </w:rPr>
            </w:pPr>
            <w:r>
              <w:rPr>
                <w:rFonts w:hint="eastAsia" w:ascii="Times New Roman" w:hAnsi="Times New Roman" w:eastAsia="宋体" w:cs="Times New Roman"/>
                <w:b/>
                <w:bCs/>
                <w:i w:val="0"/>
                <w:color w:val="000000" w:themeColor="text1"/>
                <w:kern w:val="0"/>
                <w:sz w:val="20"/>
                <w:szCs w:val="20"/>
                <w:u w:val="none"/>
                <w:lang w:val="en-US" w:eastAsia="zh-CN" w:bidi="ar"/>
              </w:rPr>
              <w:t>44,201.32</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卫生健康支出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46,198.74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1,997.43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44,201.32</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21007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计划生育事务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46,198.74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1,997.43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44,201.32</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2100717</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 xml:space="preserve">  </w:t>
            </w:r>
            <w:r>
              <w:rPr>
                <w:rFonts w:hint="eastAsia" w:ascii="Times New Roman" w:hAnsi="Times New Roman" w:cs="Times New Roman"/>
                <w:b w:val="0"/>
                <w:bCs w:val="0"/>
                <w:i w:val="0"/>
                <w:color w:val="000000" w:themeColor="text1"/>
                <w:kern w:val="0"/>
                <w:sz w:val="20"/>
                <w:szCs w:val="20"/>
                <w:u w:val="none"/>
                <w:lang w:val="en-US" w:eastAsia="zh-CN" w:bidi="ar"/>
              </w:rPr>
              <w:t xml:space="preserve">  </w:t>
            </w:r>
            <w:r>
              <w:rPr>
                <w:rFonts w:hint="eastAsia" w:ascii="Times New Roman" w:hAnsi="Times New Roman" w:eastAsia="宋体" w:cs="Times New Roman"/>
                <w:b w:val="0"/>
                <w:bCs w:val="0"/>
                <w:i w:val="0"/>
                <w:color w:val="000000" w:themeColor="text1"/>
                <w:kern w:val="0"/>
                <w:sz w:val="20"/>
                <w:szCs w:val="20"/>
                <w:u w:val="none"/>
                <w:lang w:val="en-US" w:eastAsia="zh-CN" w:bidi="ar"/>
              </w:rPr>
              <w:t>计划生育服务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46,198.74</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1,997.43</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44,201.32</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7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bl>
    <w:p>
      <w:pPr>
        <w:pStyle w:val="3"/>
        <w:rPr>
          <w:rFonts w:hint="default" w:ascii="Times New Roman" w:hAnsi="Times New Roman" w:cs="Times New Roman"/>
          <w:b w:val="0"/>
          <w:bCs w:val="0"/>
        </w:rPr>
      </w:pPr>
    </w:p>
    <w:p>
      <w:pPr>
        <w:pStyle w:val="3"/>
        <w:rPr>
          <w:rFonts w:hint="default" w:ascii="Times New Roman" w:hAnsi="Times New Roman" w:cs="Times New Roman"/>
          <w:b w:val="0"/>
          <w:bCs w:val="0"/>
        </w:rPr>
        <w:sectPr>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p>
      <w:pPr>
        <w:ind w:left="7035" w:leftChars="3350"/>
        <w:jc w:val="right"/>
        <w:rPr>
          <w:rFonts w:hint="default" w:ascii="Times New Roman" w:hAnsi="Times New Roman" w:cs="Times New Roman"/>
          <w:b w:val="0"/>
          <w:bCs w:val="0"/>
          <w:color w:val="000000" w:themeColor="text1"/>
          <w:sz w:val="22"/>
          <w:szCs w:val="21"/>
          <w:u w:val="none"/>
        </w:rPr>
      </w:pPr>
    </w:p>
    <w:p>
      <w:pPr>
        <w:keepNext/>
        <w:keepLines/>
        <w:pageBreakBefore w:val="0"/>
        <w:widowControl w:val="0"/>
        <w:kinsoku/>
        <w:wordWrap/>
        <w:overflowPunct/>
        <w:topLinePunct w:val="0"/>
        <w:autoSpaceDE/>
        <w:autoSpaceDN/>
        <w:bidi w:val="0"/>
        <w:adjustRightInd w:val="0"/>
        <w:snapToGrid w:val="0"/>
        <w:spacing w:line="360" w:lineRule="auto"/>
        <w:jc w:val="center"/>
        <w:textAlignment w:val="auto"/>
        <w:outlineLvl w:val="1"/>
        <w:rPr>
          <w:rFonts w:hint="default" w:ascii="Times New Roman" w:hAnsi="Times New Roman" w:eastAsia="宋体" w:cs="Times New Roman"/>
          <w:b/>
          <w:bCs/>
          <w:kern w:val="2"/>
          <w:sz w:val="32"/>
          <w:szCs w:val="32"/>
          <w:lang w:val="en-US" w:eastAsia="zh-CN" w:bidi="ar-SA"/>
        </w:rPr>
      </w:pPr>
      <w:bookmarkStart w:id="99" w:name="_Toc18836"/>
      <w:bookmarkStart w:id="100" w:name="_Toc20550"/>
      <w:bookmarkStart w:id="101" w:name="_Toc24940"/>
      <w:bookmarkStart w:id="102" w:name="_Toc15899"/>
      <w:bookmarkStart w:id="103" w:name="_Toc15581"/>
      <w:bookmarkStart w:id="104" w:name="_Toc32129"/>
      <w:r>
        <w:rPr>
          <w:rFonts w:hint="default" w:ascii="Times New Roman" w:hAnsi="Times New Roman" w:eastAsia="宋体" w:cs="Times New Roman"/>
          <w:b/>
          <w:bCs/>
          <w:i w:val="0"/>
          <w:color w:val="000000" w:themeColor="text1"/>
          <w:kern w:val="0"/>
          <w:sz w:val="32"/>
          <w:szCs w:val="32"/>
          <w:u w:val="none"/>
          <w:lang w:val="en-US" w:eastAsia="zh-CN" w:bidi="ar"/>
        </w:rPr>
        <w:t>财政拨款收入支出决算总表</w:t>
      </w:r>
      <w:bookmarkEnd w:id="99"/>
      <w:bookmarkEnd w:id="100"/>
      <w:bookmarkEnd w:id="101"/>
      <w:bookmarkEnd w:id="102"/>
      <w:bookmarkEnd w:id="103"/>
    </w:p>
    <w:tbl>
      <w:tblPr>
        <w:tblStyle w:val="20"/>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82"/>
        <w:gridCol w:w="478"/>
        <w:gridCol w:w="873"/>
        <w:gridCol w:w="2477"/>
        <w:gridCol w:w="478"/>
        <w:gridCol w:w="840"/>
        <w:gridCol w:w="1372"/>
        <w:gridCol w:w="1527"/>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4282"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873"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840"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653"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478"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873"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478"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840"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nil"/>
              <w:left w:val="nil"/>
              <w:bottom w:val="nil"/>
              <w:right w:val="nil"/>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653"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5633"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收入</w:t>
            </w:r>
          </w:p>
        </w:tc>
        <w:tc>
          <w:tcPr>
            <w:tcW w:w="8347"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行次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金额</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行次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一般公共预算财政拨款</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政府性基金预算财政拨款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国有资本经营预算</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    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    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一、一般公共预算财政拨款</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230</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一、一般公共服务支出</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二、政府性基金预算财政拨款</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二、外交支出</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三、国有资本经营预算财政拨款</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三、国防支出</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四、公共安全支出</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五、教育支出</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六、科学技术支出</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七、卫生健康支出</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230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230</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本年收入合计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230</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本年支出合计</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230</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230</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年初财政拨款结转和结余</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17.92</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年末财政拨款结转和结余</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17.92</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17.92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一般公共预算财政拨款</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17.92</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政府性基金预算财政拨款</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国有资本经营预算财政拨款</w:t>
            </w: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val="0"/>
                <w:bCs w:val="0"/>
                <w:i w:val="0"/>
                <w:color w:val="000000" w:themeColor="text1"/>
                <w:sz w:val="20"/>
                <w:szCs w:val="20"/>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428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总计</w:t>
            </w:r>
          </w:p>
        </w:tc>
        <w:tc>
          <w:tcPr>
            <w:tcW w:w="4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247.92</w:t>
            </w:r>
          </w:p>
        </w:tc>
        <w:tc>
          <w:tcPr>
            <w:tcW w:w="2477"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总计</w:t>
            </w:r>
          </w:p>
        </w:tc>
        <w:tc>
          <w:tcPr>
            <w:tcW w:w="478"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28</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247.92</w:t>
            </w:r>
          </w:p>
        </w:tc>
        <w:tc>
          <w:tcPr>
            <w:tcW w:w="1372"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b w:val="0"/>
                <w:bCs w:val="0"/>
                <w:i w:val="0"/>
                <w:color w:val="000000" w:themeColor="text1"/>
                <w:sz w:val="20"/>
                <w:szCs w:val="20"/>
                <w:u w:val="none"/>
                <w:lang w:val="en-US" w:eastAsia="zh-CN"/>
              </w:rPr>
            </w:pPr>
            <w:r>
              <w:rPr>
                <w:rFonts w:hint="eastAsia" w:ascii="Times New Roman" w:hAnsi="Times New Roman" w:cs="Times New Roman"/>
                <w:b w:val="0"/>
                <w:bCs w:val="0"/>
                <w:i w:val="0"/>
                <w:color w:val="000000" w:themeColor="text1"/>
                <w:sz w:val="20"/>
                <w:szCs w:val="20"/>
                <w:u w:val="none"/>
                <w:lang w:val="en-US" w:eastAsia="zh-CN"/>
              </w:rPr>
              <w:t>247.92</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3980" w:type="dxa"/>
            <w:gridSpan w:val="9"/>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default" w:ascii="Times New Roman" w:hAnsi="Times New Roman" w:cs="Times New Roman"/>
                <w:b w:val="0"/>
                <w:bCs w:val="0"/>
                <w:color w:val="000000" w:themeColor="text1"/>
                <w:u w:val="none"/>
                <w:lang w:val="en-US" w:eastAsia="zh-CN"/>
              </w:rPr>
            </w:pPr>
            <w:r>
              <w:rPr>
                <w:rFonts w:hint="default" w:ascii="Times New Roman" w:hAnsi="Times New Roman" w:cs="Times New Roman"/>
                <w:b w:val="0"/>
                <w:bCs w:val="0"/>
                <w:color w:val="000000" w:themeColor="text1"/>
                <w:u w:val="none"/>
                <w:lang w:val="en-US" w:eastAsia="zh-CN"/>
              </w:rPr>
              <w:t>注：本表反映单位本年度一般公共预算财政拨款、政府性基金预算财政拨款和国有资本经营预算财政拨款的总收支和年末结转结余情况。</w:t>
            </w:r>
          </w:p>
          <w:p>
            <w:pPr>
              <w:keepNext w:val="0"/>
              <w:keepLines w:val="0"/>
              <w:suppressLineNumbers w:val="0"/>
              <w:spacing w:before="0" w:beforeLines="0" w:beforeAutospacing="0" w:after="0" w:afterLines="0" w:afterAutospacing="0" w:line="240" w:lineRule="auto"/>
              <w:ind w:left="0" w:leftChars="0" w:right="0" w:rightChars="0" w:firstLine="0" w:firstLineChars="0"/>
              <w:jc w:val="left"/>
              <w:rPr>
                <w:rFonts w:hint="default" w:ascii="Times New Roman" w:hAnsi="Times New Roman" w:cs="Times New Roman"/>
                <w:b w:val="0"/>
                <w:bCs w:val="0"/>
                <w:color w:val="000000" w:themeColor="text1"/>
                <w:u w:val="none"/>
              </w:rPr>
            </w:pPr>
          </w:p>
        </w:tc>
      </w:tr>
    </w:tbl>
    <w:p>
      <w:pPr>
        <w:tabs>
          <w:tab w:val="left" w:pos="796"/>
        </w:tabs>
        <w:bidi w:val="0"/>
        <w:jc w:val="left"/>
        <w:rPr>
          <w:rFonts w:hint="default" w:ascii="Times New Roman" w:hAnsi="Times New Roman" w:eastAsia="宋体" w:cs="Times New Roman"/>
          <w:b w:val="0"/>
          <w:bCs w:val="0"/>
          <w:kern w:val="2"/>
          <w:sz w:val="21"/>
          <w:szCs w:val="22"/>
          <w:lang w:val="en-US" w:eastAsia="zh-CN" w:bidi="ar-SA"/>
        </w:rPr>
        <w:sectPr>
          <w:pgSz w:w="16840" w:h="11907" w:orient="landscape"/>
          <w:pgMar w:top="1134" w:right="1440" w:bottom="1134" w:left="1440" w:header="624" w:footer="964" w:gutter="0"/>
          <w:pgBorders>
            <w:top w:val="none" w:sz="0" w:space="0"/>
            <w:left w:val="none" w:sz="0" w:space="0"/>
            <w:bottom w:val="none" w:sz="0" w:space="0"/>
            <w:right w:val="none" w:sz="0" w:space="0"/>
          </w:pgBorders>
          <w:pgNumType w:fmt="decimal"/>
          <w:cols w:space="720" w:num="1"/>
          <w:docGrid w:linePitch="381" w:charSpace="0"/>
        </w:sectPr>
      </w:pPr>
    </w:p>
    <w:bookmarkEnd w:id="104"/>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宋体" w:cs="Times New Roman"/>
          <w:b/>
          <w:bCs/>
          <w:kern w:val="2"/>
          <w:sz w:val="21"/>
          <w:szCs w:val="22"/>
          <w:lang w:val="en-US" w:eastAsia="zh-CN" w:bidi="ar-SA"/>
        </w:rPr>
      </w:pPr>
      <w:bookmarkStart w:id="105" w:name="_Toc30041"/>
      <w:bookmarkStart w:id="106" w:name="_Toc15708"/>
      <w:bookmarkStart w:id="107" w:name="_Toc10248"/>
      <w:bookmarkStart w:id="108" w:name="_Toc1184"/>
      <w:bookmarkStart w:id="109" w:name="_Toc15508"/>
      <w:r>
        <w:rPr>
          <w:rFonts w:hint="default" w:ascii="Times New Roman" w:hAnsi="Times New Roman" w:eastAsia="宋体" w:cs="Times New Roman"/>
          <w:b/>
          <w:bCs/>
          <w:i w:val="0"/>
          <w:color w:val="000000" w:themeColor="text1"/>
          <w:kern w:val="0"/>
          <w:sz w:val="32"/>
          <w:szCs w:val="32"/>
          <w:u w:val="none"/>
          <w:lang w:val="en-US" w:eastAsia="zh-CN" w:bidi="ar"/>
        </w:rPr>
        <w:t>一般公共预算财政拨款支出决算表</w:t>
      </w:r>
      <w:bookmarkEnd w:id="105"/>
      <w:bookmarkEnd w:id="106"/>
      <w:bookmarkEnd w:id="107"/>
      <w:bookmarkEnd w:id="108"/>
      <w:bookmarkEnd w:id="109"/>
    </w:p>
    <w:tbl>
      <w:tblPr>
        <w:tblStyle w:val="20"/>
        <w:tblpPr w:leftFromText="180" w:rightFromText="180" w:vertAnchor="text" w:horzAnchor="page" w:tblpX="1502" w:tblpY="242"/>
        <w:tblOverlap w:val="never"/>
        <w:tblW w:w="139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9"/>
        <w:gridCol w:w="1171"/>
        <w:gridCol w:w="1772"/>
        <w:gridCol w:w="3472"/>
        <w:gridCol w:w="3500"/>
        <w:gridCol w:w="3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619"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171"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772"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472"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500"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390" w:type="dxa"/>
            <w:tcBorders>
              <w:top w:val="nil"/>
              <w:left w:val="nil"/>
              <w:bottom w:val="nil"/>
              <w:right w:val="nil"/>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619" w:type="dxa"/>
            <w:tcBorders>
              <w:top w:val="nil"/>
              <w:left w:val="nil"/>
              <w:bottom w:val="nil"/>
              <w:right w:val="nil"/>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1171"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772"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472"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500" w:type="dxa"/>
            <w:tcBorders>
              <w:top w:val="nil"/>
              <w:left w:val="nil"/>
              <w:bottom w:val="nil"/>
              <w:right w:val="nil"/>
            </w:tcBorders>
            <w:shd w:val="clear" w:color="auto" w:fill="FFFFFF"/>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390" w:type="dxa"/>
            <w:tcBorders>
              <w:top w:val="nil"/>
              <w:left w:val="nil"/>
              <w:bottom w:val="nil"/>
              <w:right w:val="nil"/>
            </w:tcBorders>
            <w:shd w:val="clear" w:color="auto" w:fill="FFFFFF"/>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right"/>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56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1036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7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功能分类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科目编码</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3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小计</w:t>
            </w:r>
          </w:p>
        </w:tc>
        <w:tc>
          <w:tcPr>
            <w:tcW w:w="3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基本支出  </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7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7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56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栏次</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56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bCs/>
                <w:i w:val="0"/>
                <w:color w:val="000000" w:themeColor="text1"/>
                <w:sz w:val="20"/>
                <w:szCs w:val="20"/>
                <w:u w:val="none"/>
                <w:lang w:val="en-US" w:eastAsia="zh-CN"/>
              </w:rPr>
            </w:pPr>
            <w:r>
              <w:rPr>
                <w:rFonts w:hint="eastAsia" w:ascii="Times New Roman" w:hAnsi="Times New Roman" w:cs="Times New Roman"/>
                <w:b/>
                <w:bCs/>
                <w:i w:val="0"/>
                <w:color w:val="000000" w:themeColor="text1"/>
                <w:sz w:val="20"/>
                <w:szCs w:val="20"/>
                <w:u w:val="none"/>
                <w:lang w:val="en-US" w:eastAsia="zh-CN"/>
              </w:rPr>
              <w:t>247.92</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bCs/>
                <w:i w:val="0"/>
                <w:color w:val="000000" w:themeColor="text1"/>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outlineLvl w:val="9"/>
              <w:rPr>
                <w:rFonts w:hint="default" w:ascii="Times New Roman" w:hAnsi="Times New Roman" w:eastAsia="宋体" w:cs="Times New Roman"/>
                <w:b/>
                <w:bCs/>
                <w:i w:val="0"/>
                <w:color w:val="000000" w:themeColor="text1"/>
                <w:kern w:val="2"/>
                <w:sz w:val="20"/>
                <w:szCs w:val="20"/>
                <w:u w:val="none"/>
                <w:lang w:val="en-US" w:eastAsia="zh-CN" w:bidi="ar-SA"/>
              </w:rPr>
            </w:pPr>
            <w:r>
              <w:rPr>
                <w:rFonts w:hint="eastAsia" w:ascii="Times New Roman" w:hAnsi="Times New Roman" w:cs="Times New Roman"/>
                <w:b/>
                <w:bCs/>
                <w:i w:val="0"/>
                <w:color w:val="000000" w:themeColor="text1"/>
                <w:sz w:val="20"/>
                <w:szCs w:val="20"/>
                <w:u w:val="none"/>
                <w:lang w:val="en-US" w:eastAsia="zh-CN"/>
              </w:rPr>
              <w:t>247.92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卫生健康支出</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247.92</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21007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计划生育事务</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247.92</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2100717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 xml:space="preserve">  </w:t>
            </w:r>
            <w:r>
              <w:rPr>
                <w:rFonts w:hint="eastAsia" w:ascii="Times New Roman" w:hAnsi="Times New Roman" w:cs="Times New Roman"/>
                <w:b w:val="0"/>
                <w:bCs w:val="0"/>
                <w:i w:val="0"/>
                <w:color w:val="000000" w:themeColor="text1"/>
                <w:kern w:val="0"/>
                <w:sz w:val="20"/>
                <w:szCs w:val="20"/>
                <w:u w:val="none"/>
                <w:lang w:val="en-US" w:eastAsia="zh-CN" w:bidi="ar"/>
              </w:rPr>
              <w:t xml:space="preserve">  </w:t>
            </w:r>
            <w:r>
              <w:rPr>
                <w:rFonts w:hint="eastAsia" w:ascii="Times New Roman" w:hAnsi="Times New Roman" w:eastAsia="宋体" w:cs="Times New Roman"/>
                <w:b w:val="0"/>
                <w:bCs w:val="0"/>
                <w:i w:val="0"/>
                <w:color w:val="000000" w:themeColor="text1"/>
                <w:kern w:val="0"/>
                <w:sz w:val="20"/>
                <w:szCs w:val="20"/>
                <w:u w:val="none"/>
                <w:lang w:val="en-US" w:eastAsia="zh-CN" w:bidi="ar"/>
              </w:rPr>
              <w:t>计划生育服务</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247.92</w:t>
            </w: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eastAsia" w:ascii="Times New Roman" w:hAnsi="Times New Roman" w:eastAsia="宋体" w:cs="Times New Roman"/>
                <w:b w:val="0"/>
                <w:bCs w:val="0"/>
                <w:i w:val="0"/>
                <w:color w:val="000000" w:themeColor="text1"/>
                <w:kern w:val="0"/>
                <w:sz w:val="20"/>
                <w:szCs w:val="20"/>
                <w:u w:val="none"/>
                <w:lang w:val="en-US" w:eastAsia="zh-CN" w:bidi="ar"/>
              </w:rPr>
              <w:t>247.92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outlineLvl w:val="9"/>
              <w:rPr>
                <w:rFonts w:hint="default" w:ascii="Times New Roman" w:hAnsi="Times New Roman" w:eastAsia="宋体" w:cs="Times New Roman"/>
                <w:b w:val="0"/>
                <w:bCs w:val="0"/>
                <w:i w:val="0"/>
                <w:color w:val="000000" w:themeColor="text1"/>
                <w:sz w:val="20"/>
                <w:szCs w:val="20"/>
                <w:u w: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outlineLvl w:val="9"/>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924" w:type="dxa"/>
            <w:gridSpan w:val="6"/>
            <w:tcBorders>
              <w:top w:val="nil"/>
              <w:left w:val="nil"/>
              <w:bottom w:val="nil"/>
              <w:right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default" w:ascii="Times New Roman" w:hAnsi="Times New Roman" w:cs="Times New Roman"/>
                <w:b w:val="0"/>
                <w:bCs w:val="0"/>
                <w:color w:val="000000" w:themeColor="text1"/>
                <w:sz w:val="20"/>
                <w:szCs w:val="20"/>
                <w:u w:val="none"/>
                <w:lang w:val="en-US" w:eastAsia="zh-CN"/>
              </w:rPr>
            </w:pPr>
            <w:r>
              <w:rPr>
                <w:rFonts w:hint="default" w:ascii="Times New Roman" w:hAnsi="Times New Roman" w:cs="Times New Roman"/>
                <w:b w:val="0"/>
                <w:bCs w:val="0"/>
                <w:color w:val="000000" w:themeColor="text1"/>
                <w:sz w:val="20"/>
                <w:szCs w:val="20"/>
                <w:u w:val="none"/>
                <w:lang w:val="en-US" w:eastAsia="zh-CN"/>
              </w:rPr>
              <w:t>注：本表反映单位本年度一般公共预算财政拨款支出情况。</w:t>
            </w:r>
          </w:p>
          <w:p>
            <w:pPr>
              <w:keepNext w:val="0"/>
              <w:keepLines w:val="0"/>
              <w:suppressLineNumbers w:val="0"/>
              <w:spacing w:before="0" w:beforeAutospacing="0" w:after="0" w:afterAutospacing="0"/>
              <w:ind w:left="0" w:right="0"/>
              <w:rPr>
                <w:rFonts w:hint="default" w:ascii="Times New Roman" w:hAnsi="Times New Roman" w:cs="Times New Roman"/>
                <w:b w:val="0"/>
                <w:bCs w:val="0"/>
              </w:rPr>
            </w:pP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lang w:val="en-US" w:eastAsia="zh-CN"/>
        </w:rPr>
      </w:pPr>
    </w:p>
    <w:p>
      <w:pPr>
        <w:keepNext w:val="0"/>
        <w:keepLines w:val="0"/>
        <w:pageBreakBefore w:val="0"/>
        <w:widowControl w:val="0"/>
        <w:tabs>
          <w:tab w:val="left" w:pos="382"/>
        </w:tabs>
        <w:kinsoku/>
        <w:wordWrap/>
        <w:overflowPunct/>
        <w:topLinePunct w:val="0"/>
        <w:autoSpaceDE/>
        <w:autoSpaceDN/>
        <w:bidi w:val="0"/>
        <w:adjustRightInd/>
        <w:snapToGrid/>
        <w:jc w:val="left"/>
        <w:textAlignment w:val="auto"/>
        <w:rPr>
          <w:rFonts w:hint="default" w:ascii="Times New Roman" w:hAnsi="Times New Roman" w:cs="Times New Roman"/>
          <w:b w:val="0"/>
          <w:bCs w:val="0"/>
          <w:lang w:val="en-US" w:eastAsia="zh-CN"/>
        </w:rPr>
        <w:sectPr>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r>
        <w:rPr>
          <w:rFonts w:hint="default" w:ascii="Times New Roman" w:hAnsi="Times New Roman" w:cs="Times New Roman"/>
          <w:b w:val="0"/>
          <w:bCs w:val="0"/>
          <w:lang w:val="en-US" w:eastAsia="zh-CN"/>
        </w:rPr>
        <w:tab/>
      </w:r>
    </w:p>
    <w:p>
      <w:pPr>
        <w:keepNext w:val="0"/>
        <w:keepLines w:val="0"/>
        <w:pageBreakBefore w:val="0"/>
        <w:widowControl w:val="0"/>
        <w:tabs>
          <w:tab w:val="left" w:pos="707"/>
        </w:tabs>
        <w:kinsoku/>
        <w:wordWrap/>
        <w:overflowPunct/>
        <w:topLinePunct w:val="0"/>
        <w:autoSpaceDE/>
        <w:autoSpaceDN/>
        <w:bidi w:val="0"/>
        <w:adjustRightInd/>
        <w:snapToGrid/>
        <w:jc w:val="center"/>
        <w:textAlignment w:val="auto"/>
        <w:outlineLvl w:val="1"/>
        <w:rPr>
          <w:rFonts w:hint="default" w:ascii="Times New Roman" w:hAnsi="Times New Roman" w:cs="Times New Roman"/>
          <w:b/>
          <w:bCs/>
          <w:color w:val="000000" w:themeColor="text1"/>
          <w:u w:val="none"/>
          <w:lang w:val="en-US" w:eastAsia="zh-CN"/>
        </w:rPr>
      </w:pPr>
      <w:bookmarkStart w:id="110" w:name="_Toc13416"/>
      <w:bookmarkStart w:id="111" w:name="_Toc23922"/>
      <w:r>
        <w:rPr>
          <w:rFonts w:hint="default" w:ascii="Times New Roman" w:hAnsi="Times New Roman" w:eastAsia="宋体" w:cs="Times New Roman"/>
          <w:b/>
          <w:bCs/>
          <w:i w:val="0"/>
          <w:color w:val="000000" w:themeColor="text1"/>
          <w:kern w:val="0"/>
          <w:sz w:val="32"/>
          <w:szCs w:val="32"/>
          <w:u w:val="none"/>
          <w:lang w:val="en-US" w:eastAsia="zh-CN" w:bidi="ar"/>
        </w:rPr>
        <w:t>一般公共预算财政拨款基本支出决算明细表</w:t>
      </w:r>
      <w:bookmarkEnd w:id="110"/>
      <w:bookmarkEnd w:id="111"/>
    </w:p>
    <w:tbl>
      <w:tblPr>
        <w:tblStyle w:val="20"/>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0"/>
        <w:gridCol w:w="2921"/>
        <w:gridCol w:w="937"/>
        <w:gridCol w:w="870"/>
        <w:gridCol w:w="2065"/>
        <w:gridCol w:w="741"/>
        <w:gridCol w:w="902"/>
        <w:gridCol w:w="4010"/>
        <w:gridCol w:w="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blHeader/>
        </w:trPr>
        <w:tc>
          <w:tcPr>
            <w:tcW w:w="870"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921"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93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870"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20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741"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4674" w:type="dxa"/>
            <w:gridSpan w:val="2"/>
            <w:tcBorders>
              <w:top w:val="nil"/>
              <w:left w:val="nil"/>
              <w:bottom w:val="nil"/>
              <w:right w:val="nil"/>
            </w:tcBorders>
            <w:shd w:val="clear" w:color="auto" w:fill="FFFFFF"/>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870" w:type="dxa"/>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2921" w:type="dxa"/>
            <w:tcBorders>
              <w:top w:val="nil"/>
              <w:left w:val="nil"/>
              <w:bottom w:val="nil"/>
              <w:right w:val="nil"/>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37" w:type="dxa"/>
            <w:tcBorders>
              <w:top w:val="nil"/>
              <w:left w:val="nil"/>
              <w:bottom w:val="nil"/>
              <w:right w:val="nil"/>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nil"/>
              <w:left w:val="nil"/>
              <w:bottom w:val="nil"/>
              <w:right w:val="nil"/>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2065" w:type="dxa"/>
            <w:tcBorders>
              <w:top w:val="nil"/>
              <w:left w:val="nil"/>
              <w:bottom w:val="nil"/>
              <w:right w:val="nil"/>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741" w:type="dxa"/>
            <w:tcBorders>
              <w:top w:val="nil"/>
              <w:left w:val="nil"/>
              <w:bottom w:val="nil"/>
              <w:right w:val="nil"/>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nil"/>
              <w:left w:val="nil"/>
              <w:bottom w:val="nil"/>
              <w:right w:val="nil"/>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4674" w:type="dxa"/>
            <w:gridSpan w:val="2"/>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blHead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经济分类科目编码</w:t>
            </w:r>
          </w:p>
        </w:tc>
        <w:tc>
          <w:tcPr>
            <w:tcW w:w="29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决算数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经济分类科目编码</w:t>
            </w:r>
          </w:p>
        </w:tc>
        <w:tc>
          <w:tcPr>
            <w:tcW w:w="20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决算数</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经济分类科目编码</w:t>
            </w:r>
          </w:p>
        </w:tc>
        <w:tc>
          <w:tcPr>
            <w:tcW w:w="40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工资福利支出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商品和服务支出</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307</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债务利息及费用支出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30101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基本工资</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办公费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30701</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国内债务付息</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30102</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津贴补贴</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印刷费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30702</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国外债务付息</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30103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奖金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咨询费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资本性支出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30106</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伙食补助费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手续费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31001</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房屋建筑物购建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30107</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绩效工资</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水费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31002</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办公设备购置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30108</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机关事业单位基本养老保险缴费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电费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31003</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专用设备购置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30109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职业年金缴费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邮电费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31005</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基础设施建设</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30110</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职工基本医疗保险缴费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取暖费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31006</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大型修缮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30111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公务员医疗补助缴费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30209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物业管理费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31007</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信息网络及软件购置更新</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30112</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其他社会保障缴费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差旅费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31008</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物资储备</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30113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住房公积金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30212</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因公出国（境）费用</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31009</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土地补偿</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30114</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医疗费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30213</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维修（护）费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31010</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安置补助</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30199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其他工资福利支出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租赁费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31011</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地上附着物和青苗补偿</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对个人和家庭的补助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会议费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31012</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拆迁补偿</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离休费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培训费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31013</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公务用车购置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30302</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退休费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公务接待费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31019</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其他交通工具购置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30303</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退职（役）费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30218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专用材料费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31021</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文物和陈列品购置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30304</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抚恤金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30224</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被装购置费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31022</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无形资产购置</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30305</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生活补助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30225</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专用燃料费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31099</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其他资本性支出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30306</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救济费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30226</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劳务费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399</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其他支出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30307</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医疗费补助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30227</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委托业务费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39906</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赠与</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30308</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助学金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30228</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工会经费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39907</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国家赔偿费用支出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30309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奖励金</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30229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福利费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39908</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firstLine="200" w:firstLineChars="10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对民间非营利组织和群众性自治组织补贴</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30310</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个人农业生产补贴</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30231</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公务用车运行维护费</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39999</w:t>
            </w: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其他支出</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30311</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代缴社会保险费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30239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其他交通费用</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30399</w:t>
            </w: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其他对个人和家庭的补助</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30240</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税金及附加费用</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30299</w:t>
            </w:r>
          </w:p>
        </w:tc>
        <w:tc>
          <w:tcPr>
            <w:tcW w:w="20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  其他商品和服务支出</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outlineLvl w:val="1"/>
              <w:rPr>
                <w:rFonts w:hint="default" w:ascii="Times New Roman" w:hAnsi="Times New Roman" w:eastAsia="宋体" w:cs="Times New Roman"/>
                <w:b w:val="0"/>
                <w:bCs w:val="0"/>
                <w:i w:val="0"/>
                <w:color w:val="000000" w:themeColor="text1"/>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40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人员经费合计</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85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公用经费合计</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3980" w:type="dxa"/>
            <w:gridSpan w:val="9"/>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val="0"/>
                <w:bCs w:val="0"/>
                <w:color w:val="000000" w:themeColor="text1"/>
                <w:sz w:val="20"/>
                <w:szCs w:val="20"/>
                <w:u w:val="none"/>
                <w:lang w:val="en-US" w:eastAsia="zh-CN"/>
              </w:rPr>
            </w:pPr>
            <w:r>
              <w:rPr>
                <w:rFonts w:hint="default" w:ascii="Times New Roman" w:hAnsi="Times New Roman" w:cs="Times New Roman"/>
                <w:b w:val="0"/>
                <w:bCs w:val="0"/>
                <w:color w:val="000000" w:themeColor="text1"/>
                <w:sz w:val="20"/>
                <w:szCs w:val="20"/>
                <w:u w:val="none"/>
                <w:lang w:val="en-US" w:eastAsia="zh-CN"/>
              </w:rPr>
              <w:t>注：本表反映单位本年度一般公共预算财政拨款基本支出明细情况。</w:t>
            </w:r>
          </w:p>
          <w:p>
            <w:pPr>
              <w:keepNext w:val="0"/>
              <w:keepLines w:val="0"/>
              <w:suppressLineNumbers w:val="0"/>
              <w:spacing w:before="0" w:beforeAutospacing="0" w:after="0" w:afterAutospacing="0"/>
              <w:ind w:left="0" w:right="0" w:firstLine="400" w:firstLineChars="200"/>
              <w:rPr>
                <w:rFonts w:hint="default" w:ascii="Times New Roman" w:hAnsi="Times New Roman" w:cs="Times New Roman"/>
                <w:b w:val="0"/>
                <w:bCs w:val="0"/>
              </w:rPr>
            </w:pPr>
            <w:bookmarkStart w:id="112" w:name="_Toc7736"/>
            <w:bookmarkStart w:id="113" w:name="_Toc8467"/>
            <w:bookmarkStart w:id="114" w:name="_Toc14360"/>
            <w:bookmarkStart w:id="115" w:name="_Toc17759"/>
            <w:bookmarkStart w:id="116" w:name="_Toc8843"/>
            <w:r>
              <w:rPr>
                <w:rFonts w:hint="default" w:ascii="Times New Roman" w:hAnsi="Times New Roman" w:cs="Times New Roman"/>
                <w:b w:val="0"/>
                <w:bCs w:val="0"/>
                <w:color w:val="000000" w:themeColor="text1"/>
                <w:sz w:val="20"/>
                <w:szCs w:val="20"/>
                <w:u w:val="none"/>
                <w:lang w:val="en-US" w:eastAsia="zh-CN"/>
              </w:rPr>
              <w:t>本单位202</w:t>
            </w:r>
            <w:r>
              <w:rPr>
                <w:rFonts w:hint="eastAsia" w:ascii="Times New Roman" w:hAnsi="Times New Roman" w:cs="Times New Roman"/>
                <w:b w:val="0"/>
                <w:bCs w:val="0"/>
                <w:color w:val="000000" w:themeColor="text1"/>
                <w:sz w:val="20"/>
                <w:szCs w:val="20"/>
                <w:u w:val="none"/>
                <w:lang w:val="en-US" w:eastAsia="zh-CN"/>
              </w:rPr>
              <w:t>2</w:t>
            </w:r>
            <w:r>
              <w:rPr>
                <w:rFonts w:hint="default" w:ascii="Times New Roman" w:hAnsi="Times New Roman" w:cs="Times New Roman"/>
                <w:b w:val="0"/>
                <w:bCs w:val="0"/>
                <w:color w:val="000000" w:themeColor="text1"/>
                <w:sz w:val="20"/>
                <w:szCs w:val="20"/>
                <w:u w:val="none"/>
                <w:lang w:val="en-US" w:eastAsia="zh-CN"/>
              </w:rPr>
              <w:t>年度无一般公共预算财政拨款基本支出</w:t>
            </w:r>
            <w:bookmarkEnd w:id="112"/>
            <w:bookmarkEnd w:id="113"/>
            <w:bookmarkEnd w:id="114"/>
            <w:bookmarkEnd w:id="115"/>
            <w:bookmarkEnd w:id="116"/>
            <w:r>
              <w:rPr>
                <w:rFonts w:hint="eastAsia" w:ascii="Times New Roman" w:hAnsi="Times New Roman" w:cs="Times New Roman"/>
                <w:b w:val="0"/>
                <w:bCs w:val="0"/>
                <w:color w:val="000000" w:themeColor="text1"/>
                <w:sz w:val="20"/>
                <w:szCs w:val="20"/>
                <w:u w:val="none"/>
                <w:lang w:val="en-US" w:eastAsia="zh-CN"/>
              </w:rPr>
              <w:t>。</w:t>
            </w:r>
          </w:p>
        </w:tc>
      </w:tr>
    </w:tbl>
    <w:p>
      <w:pPr>
        <w:pStyle w:val="3"/>
        <w:rPr>
          <w:rFonts w:hint="default" w:ascii="Times New Roman" w:hAnsi="Times New Roman" w:cs="Times New Roman"/>
          <w:b w:val="0"/>
          <w:bCs w:val="0"/>
          <w:lang w:val="en-US" w:eastAsia="zh-CN"/>
        </w:rPr>
        <w:sectPr>
          <w:pgSz w:w="16840" w:h="11907" w:orient="landscape"/>
          <w:pgMar w:top="1134" w:right="1440" w:bottom="1134" w:left="1440" w:header="624" w:footer="992" w:gutter="0"/>
          <w:pgBorders>
            <w:top w:val="none" w:sz="0" w:space="0"/>
            <w:left w:val="none" w:sz="0" w:space="0"/>
            <w:bottom w:val="none" w:sz="0" w:space="0"/>
            <w:right w:val="none" w:sz="0" w:space="0"/>
          </w:pgBorders>
          <w:pgNumType w:fmt="decimal"/>
          <w:cols w:space="720" w:num="1"/>
          <w:docGrid w:linePitch="381" w:charSpace="0"/>
        </w:sectPr>
      </w:pPr>
    </w:p>
    <w:p>
      <w:pPr>
        <w:ind w:left="7035" w:leftChars="3350"/>
        <w:jc w:val="right"/>
        <w:rPr>
          <w:rFonts w:hint="default" w:ascii="Times New Roman" w:hAnsi="Times New Roman" w:cs="Times New Roman"/>
          <w:b w:val="0"/>
          <w:bCs w:val="0"/>
          <w:color w:val="000000" w:themeColor="text1"/>
          <w:sz w:val="22"/>
          <w:szCs w:val="21"/>
          <w:u w:val="none"/>
        </w:rPr>
      </w:pPr>
    </w:p>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1"/>
        <w:rPr>
          <w:rFonts w:hint="default" w:ascii="Times New Roman" w:hAnsi="Times New Roman" w:cs="Times New Roman"/>
          <w:b/>
          <w:bCs/>
          <w:color w:val="000000" w:themeColor="text1"/>
          <w:sz w:val="32"/>
          <w:szCs w:val="32"/>
          <w:u w:val="none"/>
        </w:rPr>
      </w:pPr>
      <w:bookmarkStart w:id="117" w:name="_Toc21317"/>
      <w:bookmarkStart w:id="118" w:name="_Toc1338"/>
      <w:bookmarkStart w:id="119" w:name="_Toc22987"/>
      <w:bookmarkStart w:id="120" w:name="_Toc7166"/>
      <w:bookmarkStart w:id="121" w:name="_Toc15202"/>
      <w:r>
        <w:rPr>
          <w:rFonts w:hint="default" w:ascii="Times New Roman" w:hAnsi="Times New Roman" w:eastAsia="宋体" w:cs="Times New Roman"/>
          <w:b/>
          <w:bCs/>
          <w:i w:val="0"/>
          <w:color w:val="000000" w:themeColor="text1"/>
          <w:kern w:val="0"/>
          <w:sz w:val="32"/>
          <w:szCs w:val="32"/>
          <w:u w:val="none"/>
          <w:lang w:val="en-US" w:eastAsia="zh-CN" w:bidi="ar"/>
        </w:rPr>
        <w:t>政府性基金预算财政拨款收入支出决算表</w:t>
      </w:r>
      <w:bookmarkEnd w:id="117"/>
      <w:bookmarkEnd w:id="118"/>
      <w:bookmarkEnd w:id="119"/>
      <w:bookmarkEnd w:id="120"/>
      <w:bookmarkEnd w:id="121"/>
    </w:p>
    <w:tbl>
      <w:tblPr>
        <w:tblStyle w:val="20"/>
        <w:tblW w:w="13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2"/>
        <w:gridCol w:w="535"/>
        <w:gridCol w:w="1275"/>
        <w:gridCol w:w="1927"/>
        <w:gridCol w:w="1927"/>
        <w:gridCol w:w="1927"/>
        <w:gridCol w:w="1927"/>
        <w:gridCol w:w="1927"/>
        <w:gridCol w:w="1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602"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53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w:t>
            </w:r>
            <w:r>
              <w:rPr>
                <w:rFonts w:hint="eastAsia" w:ascii="Times New Roman" w:hAnsi="Times New Roman" w:cs="Times New Roman"/>
                <w:b w:val="0"/>
                <w:bCs w:val="0"/>
                <w:i w:val="0"/>
                <w:color w:val="000000" w:themeColor="text1"/>
                <w:kern w:val="0"/>
                <w:sz w:val="20"/>
                <w:szCs w:val="20"/>
                <w:u w:val="none"/>
                <w:lang w:val="en-US" w:eastAsia="zh-CN" w:bidi="ar"/>
              </w:rPr>
              <w:t>7</w:t>
            </w:r>
            <w:r>
              <w:rPr>
                <w:rFonts w:hint="default" w:ascii="Times New Roman" w:hAnsi="Times New Roman" w:eastAsia="宋体" w:cs="Times New Roman"/>
                <w:b w:val="0"/>
                <w:bCs w:val="0"/>
                <w:i w:val="0"/>
                <w:color w:val="000000" w:themeColor="text1"/>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602"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53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年初结转和结余</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本年收入</w:t>
            </w:r>
          </w:p>
        </w:tc>
        <w:tc>
          <w:tcPr>
            <w:tcW w:w="5781"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本年支出</w:t>
            </w:r>
          </w:p>
        </w:tc>
        <w:tc>
          <w:tcPr>
            <w:tcW w:w="193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功能分类</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科目编码</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小计</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基本支出  </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项目支出</w:t>
            </w: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栏次</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5</w:t>
            </w: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3978" w:type="dxa"/>
            <w:gridSpan w:val="9"/>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注：本表反映</w:t>
            </w: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本年度政府性基金预算财政拨款收入、支出及结转和结余情况。</w:t>
            </w:r>
          </w:p>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本单位202</w:t>
            </w:r>
            <w:r>
              <w:rPr>
                <w:rFonts w:hint="eastAsia" w:ascii="Times New Roman" w:hAnsi="Times New Roman" w:eastAsia="宋体" w:cs="Times New Roman"/>
                <w:b w:val="0"/>
                <w:bCs w:val="0"/>
                <w:i w:val="0"/>
                <w:color w:val="000000" w:themeColor="text1"/>
                <w:kern w:val="0"/>
                <w:sz w:val="20"/>
                <w:szCs w:val="20"/>
                <w:u w:val="none"/>
                <w:lang w:val="en-US" w:eastAsia="zh-CN" w:bidi="ar"/>
              </w:rPr>
              <w:t>2</w:t>
            </w:r>
            <w:r>
              <w:rPr>
                <w:rFonts w:hint="default" w:ascii="Times New Roman" w:hAnsi="Times New Roman" w:eastAsia="宋体" w:cs="Times New Roman"/>
                <w:b w:val="0"/>
                <w:bCs w:val="0"/>
                <w:i w:val="0"/>
                <w:color w:val="000000" w:themeColor="text1"/>
                <w:kern w:val="0"/>
                <w:sz w:val="20"/>
                <w:szCs w:val="20"/>
                <w:u w:val="none"/>
                <w:lang w:val="en-US" w:eastAsia="zh-CN" w:bidi="ar"/>
              </w:rPr>
              <w:t>年度无政府性基金预算财政拨款收支</w:t>
            </w:r>
            <w:r>
              <w:rPr>
                <w:rFonts w:hint="eastAsia" w:ascii="Times New Roman" w:hAnsi="Times New Roman" w:eastAsia="宋体" w:cs="Times New Roman"/>
                <w:b w:val="0"/>
                <w:bCs w:val="0"/>
                <w:i w:val="0"/>
                <w:color w:val="000000" w:themeColor="text1"/>
                <w:kern w:val="0"/>
                <w:sz w:val="20"/>
                <w:szCs w:val="20"/>
                <w:u w:val="none"/>
                <w:lang w:val="en-US" w:eastAsia="zh-CN" w:bidi="ar"/>
              </w:rPr>
              <w:t>。</w:t>
            </w:r>
          </w:p>
        </w:tc>
      </w:tr>
    </w:tbl>
    <w:p>
      <w:pPr>
        <w:pStyle w:val="2"/>
        <w:rPr>
          <w:rFonts w:hint="default" w:ascii="Times New Roman" w:hAnsi="Times New Roman" w:cs="Times New Roman"/>
          <w:b w:val="0"/>
          <w:bCs w:val="0"/>
          <w:color w:val="000000" w:themeColor="text1"/>
          <w:u w:val="none"/>
        </w:rPr>
        <w:sectPr>
          <w:pgSz w:w="16838" w:h="11906" w:orient="landscape"/>
          <w:pgMar w:top="1191" w:right="1440" w:bottom="1191"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cs="Times New Roman"/>
          <w:b w:val="0"/>
          <w:bCs w:val="0"/>
          <w:color w:val="000000" w:themeColor="text1"/>
          <w:u w:val="none"/>
        </w:rPr>
      </w:pPr>
      <w:bookmarkStart w:id="122" w:name="_Toc16911"/>
      <w:bookmarkStart w:id="123" w:name="_Toc240"/>
      <w:bookmarkStart w:id="124" w:name="_Toc20265"/>
      <w:bookmarkStart w:id="125" w:name="_Toc29499"/>
      <w:bookmarkStart w:id="126" w:name="_Toc14620"/>
      <w:r>
        <w:rPr>
          <w:rFonts w:hint="default" w:ascii="Times New Roman" w:hAnsi="Times New Roman" w:eastAsia="华文中宋" w:cs="Times New Roman"/>
          <w:b w:val="0"/>
          <w:bCs w:val="0"/>
          <w:i w:val="0"/>
          <w:color w:val="000000" w:themeColor="text1"/>
          <w:kern w:val="0"/>
          <w:sz w:val="32"/>
          <w:szCs w:val="32"/>
          <w:u w:val="none"/>
          <w:lang w:val="en-US" w:eastAsia="zh-CN" w:bidi="ar"/>
        </w:rPr>
        <w:t>国有资本经营预算财政拨款支出决算表</w:t>
      </w:r>
      <w:bookmarkEnd w:id="122"/>
      <w:bookmarkEnd w:id="123"/>
      <w:bookmarkEnd w:id="124"/>
      <w:bookmarkEnd w:id="125"/>
      <w:bookmarkEnd w:id="126"/>
    </w:p>
    <w:tbl>
      <w:tblPr>
        <w:tblStyle w:val="20"/>
        <w:tblW w:w="13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26"/>
        <w:gridCol w:w="648"/>
        <w:gridCol w:w="2120"/>
        <w:gridCol w:w="3065"/>
        <w:gridCol w:w="1"/>
        <w:gridCol w:w="3064"/>
        <w:gridCol w:w="1"/>
        <w:gridCol w:w="3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1226"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648"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0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4" w:type="dxa"/>
            <w:gridSpan w:val="2"/>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w:t>
            </w:r>
            <w:r>
              <w:rPr>
                <w:rFonts w:hint="eastAsia" w:ascii="Times New Roman" w:hAnsi="Times New Roman" w:cs="Times New Roman"/>
                <w:b w:val="0"/>
                <w:bCs w:val="0"/>
                <w:i w:val="0"/>
                <w:color w:val="000000" w:themeColor="text1"/>
                <w:kern w:val="0"/>
                <w:sz w:val="20"/>
                <w:szCs w:val="20"/>
                <w:u w:val="none"/>
                <w:lang w:val="en-US" w:eastAsia="zh-CN" w:bidi="ar"/>
              </w:rPr>
              <w:t>8</w:t>
            </w:r>
            <w:r>
              <w:rPr>
                <w:rFonts w:hint="default" w:ascii="Times New Roman" w:hAnsi="Times New Roman" w:eastAsia="宋体" w:cs="Times New Roman"/>
                <w:b w:val="0"/>
                <w:bCs w:val="0"/>
                <w:i w:val="0"/>
                <w:color w:val="000000" w:themeColor="text1"/>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226" w:type="dxa"/>
            <w:tcBorders>
              <w:top w:val="nil"/>
              <w:left w:val="nil"/>
              <w:bottom w:val="single" w:color="auto" w:sz="4" w:space="0"/>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648" w:type="dxa"/>
            <w:tcBorders>
              <w:top w:val="nil"/>
              <w:left w:val="nil"/>
              <w:bottom w:val="single" w:color="auto" w:sz="4" w:space="0"/>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nil"/>
              <w:left w:val="nil"/>
              <w:bottom w:val="single" w:color="auto" w:sz="4" w:space="0"/>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065" w:type="dxa"/>
            <w:tcBorders>
              <w:top w:val="nil"/>
              <w:left w:val="nil"/>
              <w:bottom w:val="single" w:color="auto" w:sz="4" w:space="0"/>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nil"/>
              <w:left w:val="nil"/>
              <w:bottom w:val="single" w:color="auto" w:sz="4" w:space="0"/>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4" w:type="dxa"/>
            <w:gridSpan w:val="2"/>
            <w:tcBorders>
              <w:top w:val="nil"/>
              <w:left w:val="nil"/>
              <w:bottom w:val="single" w:color="auto" w:sz="4" w:space="0"/>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994"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    目</w:t>
            </w:r>
          </w:p>
        </w:tc>
        <w:tc>
          <w:tcPr>
            <w:tcW w:w="9984" w:type="dxa"/>
            <w:gridSpan w:val="5"/>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74"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功能分类</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科目编码</w:t>
            </w:r>
          </w:p>
        </w:tc>
        <w:tc>
          <w:tcPr>
            <w:tcW w:w="2120"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科目名称</w:t>
            </w:r>
          </w:p>
        </w:tc>
        <w:tc>
          <w:tcPr>
            <w:tcW w:w="306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3065"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 xml:space="preserve">基本支出  </w:t>
            </w:r>
          </w:p>
        </w:tc>
        <w:tc>
          <w:tcPr>
            <w:tcW w:w="3853"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74"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066"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06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85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874"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066"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065"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853"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994"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栏次</w:t>
            </w: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3994"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212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065"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385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3978" w:type="dxa"/>
            <w:gridSpan w:val="8"/>
            <w:tcBorders>
              <w:top w:val="single" w:color="auto" w:sz="4" w:space="0"/>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b w:val="0"/>
                <w:bCs w:val="0"/>
                <w:color w:val="000000" w:themeColor="text1"/>
                <w:u w:val="none"/>
                <w:lang w:val="en-US" w:eastAsia="zh-CN"/>
              </w:rPr>
            </w:pPr>
            <w:r>
              <w:rPr>
                <w:rFonts w:hint="default" w:ascii="Times New Roman" w:hAnsi="Times New Roman" w:cs="Times New Roman"/>
                <w:b w:val="0"/>
                <w:bCs w:val="0"/>
                <w:color w:val="000000" w:themeColor="text1"/>
                <w:u w:val="none"/>
                <w:lang w:val="en-US" w:eastAsia="zh-CN"/>
              </w:rPr>
              <w:t>注：本表反映单位本年度国有资本经营预算财政拨款支出情况。</w:t>
            </w:r>
          </w:p>
          <w:p>
            <w:pPr>
              <w:keepNext w:val="0"/>
              <w:keepLines w:val="0"/>
              <w:suppressLineNumbers w:val="0"/>
              <w:spacing w:before="0" w:beforeAutospacing="0" w:after="0" w:afterAutospacing="0"/>
              <w:ind w:left="0" w:right="0" w:firstLine="420" w:firstLineChars="200"/>
              <w:rPr>
                <w:rFonts w:hint="default" w:ascii="Times New Roman" w:hAnsi="Times New Roman" w:cs="Times New Roman"/>
                <w:b w:val="0"/>
                <w:bCs w:val="0"/>
              </w:rPr>
            </w:pPr>
            <w:bookmarkStart w:id="127" w:name="_Toc12953"/>
            <w:bookmarkStart w:id="128" w:name="_Toc32455"/>
            <w:bookmarkStart w:id="129" w:name="_Toc25922"/>
            <w:bookmarkStart w:id="130" w:name="_Toc21424"/>
            <w:bookmarkStart w:id="131" w:name="_Toc27377"/>
            <w:r>
              <w:rPr>
                <w:rFonts w:hint="default" w:ascii="Times New Roman" w:hAnsi="Times New Roman" w:cs="Times New Roman"/>
                <w:b w:val="0"/>
                <w:bCs w:val="0"/>
                <w:color w:val="000000" w:themeColor="text1"/>
                <w:u w:val="none"/>
                <w:lang w:val="en-US" w:eastAsia="zh-CN"/>
              </w:rPr>
              <w:t>本单位202</w:t>
            </w:r>
            <w:r>
              <w:rPr>
                <w:rFonts w:hint="eastAsia" w:ascii="Times New Roman" w:hAnsi="Times New Roman" w:cs="Times New Roman"/>
                <w:b w:val="0"/>
                <w:bCs w:val="0"/>
                <w:color w:val="000000" w:themeColor="text1"/>
                <w:u w:val="none"/>
                <w:lang w:val="en-US" w:eastAsia="zh-CN"/>
              </w:rPr>
              <w:t>2</w:t>
            </w:r>
            <w:r>
              <w:rPr>
                <w:rFonts w:hint="default" w:ascii="Times New Roman" w:hAnsi="Times New Roman" w:cs="Times New Roman"/>
                <w:b w:val="0"/>
                <w:bCs w:val="0"/>
                <w:color w:val="000000" w:themeColor="text1"/>
                <w:u w:val="none"/>
                <w:lang w:val="en-US" w:eastAsia="zh-CN"/>
              </w:rPr>
              <w:t>年度无国有资本经营预算财政拨款支出</w:t>
            </w:r>
            <w:bookmarkEnd w:id="127"/>
            <w:bookmarkEnd w:id="128"/>
            <w:bookmarkEnd w:id="129"/>
            <w:bookmarkEnd w:id="130"/>
            <w:bookmarkEnd w:id="131"/>
            <w:r>
              <w:rPr>
                <w:rFonts w:hint="eastAsia" w:ascii="Times New Roman" w:hAnsi="Times New Roman" w:cs="Times New Roman"/>
                <w:b w:val="0"/>
                <w:bCs w:val="0"/>
                <w:color w:val="000000" w:themeColor="text1"/>
                <w:u w:val="none"/>
                <w:lang w:val="en-US" w:eastAsia="zh-CN"/>
              </w:rPr>
              <w:t>。</w:t>
            </w:r>
          </w:p>
        </w:tc>
      </w:tr>
    </w:tbl>
    <w:p>
      <w:pPr>
        <w:pStyle w:val="3"/>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宋体" w:cs="Times New Roman"/>
          <w:b w:val="0"/>
          <w:bCs w:val="0"/>
          <w:i w:val="0"/>
          <w:color w:val="000000" w:themeColor="text1"/>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宋体" w:cs="Times New Roman"/>
          <w:b w:val="0"/>
          <w:bCs w:val="0"/>
          <w:i w:val="0"/>
          <w:color w:val="000000" w:themeColor="text1"/>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宋体" w:cs="Times New Roman"/>
          <w:b w:val="0"/>
          <w:bCs w:val="0"/>
          <w:i w:val="0"/>
          <w:color w:val="000000" w:themeColor="text1"/>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宋体" w:cs="Times New Roman"/>
          <w:b w:val="0"/>
          <w:bCs w:val="0"/>
          <w:i w:val="0"/>
          <w:color w:val="000000" w:themeColor="text1"/>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黑体" w:cs="Times New Roman"/>
          <w:b w:val="0"/>
          <w:bCs w:val="0"/>
          <w:color w:val="000000" w:themeColor="text1"/>
          <w:sz w:val="32"/>
          <w:szCs w:val="32"/>
          <w:u w:val="none"/>
        </w:rPr>
      </w:pPr>
      <w:bookmarkStart w:id="132" w:name="_Toc5376"/>
      <w:r>
        <w:rPr>
          <w:rFonts w:hint="default" w:ascii="Times New Roman" w:hAnsi="Times New Roman" w:eastAsia="宋体" w:cs="Times New Roman"/>
          <w:b w:val="0"/>
          <w:bCs w:val="0"/>
          <w:i w:val="0"/>
          <w:color w:val="000000" w:themeColor="text1"/>
          <w:kern w:val="0"/>
          <w:sz w:val="32"/>
          <w:szCs w:val="32"/>
          <w:u w:val="none"/>
          <w:lang w:val="en-US" w:eastAsia="zh-CN" w:bidi="ar"/>
        </w:rPr>
        <w:t>财政拨款“三公”经费支出决算表</w:t>
      </w:r>
      <w:bookmarkEnd w:id="132"/>
    </w:p>
    <w:tbl>
      <w:tblPr>
        <w:tblStyle w:val="20"/>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65"/>
        <w:gridCol w:w="1165"/>
        <w:gridCol w:w="1165"/>
        <w:gridCol w:w="1165"/>
        <w:gridCol w:w="1165"/>
        <w:gridCol w:w="1165"/>
        <w:gridCol w:w="1165"/>
        <w:gridCol w:w="1165"/>
        <w:gridCol w:w="1165"/>
        <w:gridCol w:w="1165"/>
        <w:gridCol w:w="1165"/>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 w:hRule="atLeast"/>
        </w:trPr>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公开0</w:t>
            </w:r>
            <w:r>
              <w:rPr>
                <w:rFonts w:hint="eastAsia" w:ascii="Times New Roman" w:hAnsi="Times New Roman" w:cs="Times New Roman"/>
                <w:b w:val="0"/>
                <w:bCs w:val="0"/>
                <w:i w:val="0"/>
                <w:color w:val="000000" w:themeColor="text1"/>
                <w:kern w:val="0"/>
                <w:sz w:val="20"/>
                <w:szCs w:val="20"/>
                <w:u w:val="none"/>
                <w:lang w:val="en-US" w:eastAsia="zh-CN" w:bidi="ar"/>
              </w:rPr>
              <w:t>9</w:t>
            </w:r>
            <w:r>
              <w:rPr>
                <w:rFonts w:hint="default" w:ascii="Times New Roman" w:hAnsi="Times New Roman" w:eastAsia="宋体" w:cs="Times New Roman"/>
                <w:b w:val="0"/>
                <w:bCs w:val="0"/>
                <w:i w:val="0"/>
                <w:color w:val="000000" w:themeColor="text1"/>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65"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w:t>
            </w: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nil"/>
              <w:left w:val="nil"/>
              <w:bottom w:val="nil"/>
              <w:right w:val="nil"/>
            </w:tcBorders>
            <w:shd w:val="clear" w:color="auto" w:fill="FFFFFF"/>
            <w:noWrap/>
            <w:tcMar>
              <w:top w:w="10" w:type="dxa"/>
              <w:left w:w="10" w:type="dxa"/>
              <w:right w:w="10"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6990"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预算数</w:t>
            </w:r>
          </w:p>
        </w:tc>
        <w:tc>
          <w:tcPr>
            <w:tcW w:w="6990"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因公出国（境）费</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公务用车购置及运行费</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公务接待费</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合计</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因公出国（境）费</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公务用车购置及运行费</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小计</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公务用车</w:t>
            </w:r>
            <w:r>
              <w:rPr>
                <w:rFonts w:hint="default" w:ascii="Times New Roman" w:hAnsi="Times New Roman" w:eastAsia="宋体" w:cs="Times New Roman"/>
                <w:b w:val="0"/>
                <w:bCs w:val="0"/>
                <w:i w:val="0"/>
                <w:color w:val="000000" w:themeColor="text1"/>
                <w:kern w:val="0"/>
                <w:sz w:val="20"/>
                <w:szCs w:val="20"/>
                <w:u w:val="none"/>
                <w:lang w:val="en-US" w:eastAsia="zh-CN" w:bidi="ar"/>
              </w:rPr>
              <w:br w:type="textWrapping"/>
            </w:r>
            <w:r>
              <w:rPr>
                <w:rFonts w:hint="default" w:ascii="Times New Roman" w:hAnsi="Times New Roman" w:eastAsia="宋体" w:cs="Times New Roman"/>
                <w:b w:val="0"/>
                <w:bCs w:val="0"/>
                <w:i w:val="0"/>
                <w:color w:val="000000" w:themeColor="text1"/>
                <w:kern w:val="0"/>
                <w:sz w:val="20"/>
                <w:szCs w:val="20"/>
                <w:u w:val="none"/>
                <w:lang w:val="en-US" w:eastAsia="zh-CN" w:bidi="ar"/>
              </w:rPr>
              <w:t>购置费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公务用车</w:t>
            </w:r>
            <w:r>
              <w:rPr>
                <w:rFonts w:hint="default" w:ascii="Times New Roman" w:hAnsi="Times New Roman" w:eastAsia="宋体" w:cs="Times New Roman"/>
                <w:b w:val="0"/>
                <w:bCs w:val="0"/>
                <w:i w:val="0"/>
                <w:color w:val="000000" w:themeColor="text1"/>
                <w:kern w:val="0"/>
                <w:sz w:val="20"/>
                <w:szCs w:val="20"/>
                <w:u w:val="none"/>
                <w:lang w:val="en-US" w:eastAsia="zh-CN" w:bidi="ar"/>
              </w:rPr>
              <w:br w:type="textWrapping"/>
            </w:r>
            <w:r>
              <w:rPr>
                <w:rFonts w:hint="default" w:ascii="Times New Roman" w:hAnsi="Times New Roman" w:eastAsia="宋体" w:cs="Times New Roman"/>
                <w:b w:val="0"/>
                <w:bCs w:val="0"/>
                <w:i w:val="0"/>
                <w:color w:val="000000" w:themeColor="text1"/>
                <w:kern w:val="0"/>
                <w:sz w:val="20"/>
                <w:szCs w:val="20"/>
                <w:u w:val="none"/>
                <w:lang w:val="en-US" w:eastAsia="zh-CN" w:bidi="ar"/>
              </w:rPr>
              <w:t>运行</w:t>
            </w:r>
            <w:r>
              <w:rPr>
                <w:rFonts w:hint="eastAsia" w:ascii="Times New Roman" w:hAnsi="Times New Roman" w:cs="Times New Roman"/>
                <w:b w:val="0"/>
                <w:bCs w:val="0"/>
                <w:i w:val="0"/>
                <w:color w:val="000000" w:themeColor="text1"/>
                <w:kern w:val="0"/>
                <w:sz w:val="20"/>
                <w:szCs w:val="20"/>
                <w:u w:val="none"/>
                <w:lang w:val="en-US" w:eastAsia="zh-CN" w:bidi="ar"/>
              </w:rPr>
              <w:t>维护</w:t>
            </w:r>
            <w:r>
              <w:rPr>
                <w:rFonts w:hint="default" w:ascii="Times New Roman" w:hAnsi="Times New Roman" w:eastAsia="宋体" w:cs="Times New Roman"/>
                <w:b w:val="0"/>
                <w:bCs w:val="0"/>
                <w:i w:val="0"/>
                <w:color w:val="000000" w:themeColor="text1"/>
                <w:kern w:val="0"/>
                <w:sz w:val="20"/>
                <w:szCs w:val="20"/>
                <w:u w:val="none"/>
                <w:lang w:val="en-US" w:eastAsia="zh-CN" w:bidi="ar"/>
              </w:rPr>
              <w:t>费</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小计</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公务用车</w:t>
            </w:r>
            <w:r>
              <w:rPr>
                <w:rFonts w:hint="default" w:ascii="Times New Roman" w:hAnsi="Times New Roman" w:eastAsia="宋体" w:cs="Times New Roman"/>
                <w:b w:val="0"/>
                <w:bCs w:val="0"/>
                <w:i w:val="0"/>
                <w:color w:val="000000" w:themeColor="text1"/>
                <w:kern w:val="0"/>
                <w:sz w:val="20"/>
                <w:szCs w:val="20"/>
                <w:u w:val="none"/>
                <w:lang w:val="en-US" w:eastAsia="zh-CN" w:bidi="ar"/>
              </w:rPr>
              <w:br w:type="textWrapping"/>
            </w:r>
            <w:r>
              <w:rPr>
                <w:rFonts w:hint="default" w:ascii="Times New Roman" w:hAnsi="Times New Roman" w:eastAsia="宋体" w:cs="Times New Roman"/>
                <w:b w:val="0"/>
                <w:bCs w:val="0"/>
                <w:i w:val="0"/>
                <w:color w:val="000000" w:themeColor="text1"/>
                <w:kern w:val="0"/>
                <w:sz w:val="20"/>
                <w:szCs w:val="20"/>
                <w:u w:val="none"/>
                <w:lang w:val="en-US" w:eastAsia="zh-CN" w:bidi="ar"/>
              </w:rPr>
              <w:t>购置费</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公务用车</w:t>
            </w:r>
            <w:r>
              <w:rPr>
                <w:rFonts w:hint="default" w:ascii="Times New Roman" w:hAnsi="Times New Roman" w:eastAsia="宋体" w:cs="Times New Roman"/>
                <w:b w:val="0"/>
                <w:bCs w:val="0"/>
                <w:i w:val="0"/>
                <w:color w:val="000000" w:themeColor="text1"/>
                <w:kern w:val="0"/>
                <w:sz w:val="20"/>
                <w:szCs w:val="20"/>
                <w:u w:val="none"/>
                <w:lang w:val="en-US" w:eastAsia="zh-CN" w:bidi="ar"/>
              </w:rPr>
              <w:br w:type="textWrapping"/>
            </w:r>
            <w:r>
              <w:rPr>
                <w:rFonts w:hint="default" w:ascii="Times New Roman" w:hAnsi="Times New Roman" w:eastAsia="宋体" w:cs="Times New Roman"/>
                <w:b w:val="0"/>
                <w:bCs w:val="0"/>
                <w:i w:val="0"/>
                <w:color w:val="000000" w:themeColor="text1"/>
                <w:kern w:val="0"/>
                <w:sz w:val="20"/>
                <w:szCs w:val="20"/>
                <w:u w:val="none"/>
                <w:lang w:val="en-US" w:eastAsia="zh-CN" w:bidi="ar"/>
              </w:rPr>
              <w:t>运行</w:t>
            </w:r>
            <w:r>
              <w:rPr>
                <w:rFonts w:hint="eastAsia" w:ascii="Times New Roman" w:hAnsi="Times New Roman" w:cs="Times New Roman"/>
                <w:b w:val="0"/>
                <w:bCs w:val="0"/>
                <w:i w:val="0"/>
                <w:color w:val="000000" w:themeColor="text1"/>
                <w:kern w:val="0"/>
                <w:sz w:val="20"/>
                <w:szCs w:val="20"/>
                <w:u w:val="none"/>
                <w:lang w:val="en-US" w:eastAsia="zh-CN" w:bidi="ar"/>
              </w:rPr>
              <w:t>维护</w:t>
            </w:r>
            <w:r>
              <w:rPr>
                <w:rFonts w:hint="default" w:ascii="Times New Roman" w:hAnsi="Times New Roman" w:eastAsia="宋体" w:cs="Times New Roman"/>
                <w:b w:val="0"/>
                <w:bCs w:val="0"/>
                <w:i w:val="0"/>
                <w:color w:val="000000" w:themeColor="text1"/>
                <w:kern w:val="0"/>
                <w:sz w:val="20"/>
                <w:szCs w:val="20"/>
                <w:u w:val="none"/>
                <w:lang w:val="en-US" w:eastAsia="zh-CN" w:bidi="ar"/>
              </w:rPr>
              <w:t>费</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8</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9</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11</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i w:val="0"/>
                <w:color w:val="000000" w:themeColor="text1"/>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 w:hRule="atLeast"/>
        </w:trPr>
        <w:tc>
          <w:tcPr>
            <w:tcW w:w="13980" w:type="dxa"/>
            <w:gridSpan w:val="12"/>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val="0"/>
                <w:bCs w:val="0"/>
                <w:i w:val="0"/>
                <w:color w:val="000000" w:themeColor="text1"/>
                <w:kern w:val="0"/>
                <w:sz w:val="20"/>
                <w:szCs w:val="20"/>
                <w:u w:val="none"/>
                <w:lang w:val="en-US" w:eastAsia="zh-CN" w:bidi="ar"/>
              </w:rPr>
            </w:pPr>
            <w:r>
              <w:rPr>
                <w:rFonts w:hint="default" w:ascii="Times New Roman" w:hAnsi="Times New Roman" w:eastAsia="宋体" w:cs="Times New Roman"/>
                <w:b w:val="0"/>
                <w:bCs w:val="0"/>
                <w:i w:val="0"/>
                <w:color w:val="000000" w:themeColor="text1"/>
                <w:kern w:val="0"/>
                <w:sz w:val="20"/>
                <w:szCs w:val="20"/>
                <w:u w:val="none"/>
                <w:lang w:val="en-US" w:eastAsia="zh-CN" w:bidi="ar"/>
              </w:rPr>
              <w:t>注：本表反映</w:t>
            </w:r>
            <w:r>
              <w:rPr>
                <w:rFonts w:hint="default" w:ascii="Times New Roman" w:hAnsi="Times New Roman" w:cs="Times New Roman"/>
                <w:b w:val="0"/>
                <w:bCs w:val="0"/>
                <w:i w:val="0"/>
                <w:color w:val="000000" w:themeColor="text1"/>
                <w:kern w:val="0"/>
                <w:sz w:val="20"/>
                <w:szCs w:val="20"/>
                <w:u w:val="none"/>
                <w:lang w:val="en-US" w:eastAsia="zh-CN" w:bidi="ar"/>
              </w:rPr>
              <w:t>单位</w:t>
            </w:r>
            <w:r>
              <w:rPr>
                <w:rFonts w:hint="default" w:ascii="Times New Roman" w:hAnsi="Times New Roman" w:eastAsia="宋体" w:cs="Times New Roman"/>
                <w:b w:val="0"/>
                <w:bCs w:val="0"/>
                <w:i w:val="0"/>
                <w:color w:val="000000" w:themeColor="text1"/>
                <w:kern w:val="0"/>
                <w:sz w:val="20"/>
                <w:szCs w:val="20"/>
                <w:u w:val="none"/>
                <w:lang w:val="en-US" w:eastAsia="zh-CN" w:bidi="ar"/>
              </w:rPr>
              <w:t>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firstLine="400" w:firstLineChars="200"/>
              <w:jc w:val="left"/>
              <w:textAlignment w:val="center"/>
              <w:rPr>
                <w:rFonts w:hint="default" w:ascii="Times New Roman" w:hAnsi="Times New Roman" w:eastAsia="宋体" w:cs="Times New Roman"/>
                <w:b w:val="0"/>
                <w:bCs w:val="0"/>
                <w:i w:val="0"/>
                <w:color w:val="000000" w:themeColor="text1"/>
                <w:sz w:val="20"/>
                <w:szCs w:val="20"/>
                <w:u w:val="none"/>
              </w:rPr>
            </w:pPr>
            <w:r>
              <w:rPr>
                <w:rFonts w:hint="default" w:ascii="Times New Roman" w:hAnsi="Times New Roman" w:eastAsia="宋体" w:cs="Times New Roman"/>
                <w:b w:val="0"/>
                <w:bCs w:val="0"/>
                <w:i w:val="0"/>
                <w:color w:val="000000" w:themeColor="text1"/>
                <w:kern w:val="0"/>
                <w:sz w:val="20"/>
                <w:szCs w:val="20"/>
                <w:u w:val="none"/>
                <w:lang w:val="en-US" w:eastAsia="zh-CN" w:bidi="ar"/>
              </w:rPr>
              <w:t>本单位202</w:t>
            </w:r>
            <w:r>
              <w:rPr>
                <w:rFonts w:hint="eastAsia" w:ascii="Times New Roman" w:hAnsi="Times New Roman" w:eastAsia="宋体" w:cs="Times New Roman"/>
                <w:b w:val="0"/>
                <w:bCs w:val="0"/>
                <w:i w:val="0"/>
                <w:color w:val="000000" w:themeColor="text1"/>
                <w:kern w:val="0"/>
                <w:sz w:val="20"/>
                <w:szCs w:val="20"/>
                <w:u w:val="none"/>
                <w:lang w:val="en-US" w:eastAsia="zh-CN" w:bidi="ar"/>
              </w:rPr>
              <w:t>2</w:t>
            </w:r>
            <w:r>
              <w:rPr>
                <w:rFonts w:hint="default" w:ascii="Times New Roman" w:hAnsi="Times New Roman" w:eastAsia="宋体" w:cs="Times New Roman"/>
                <w:b w:val="0"/>
                <w:bCs w:val="0"/>
                <w:i w:val="0"/>
                <w:color w:val="000000" w:themeColor="text1"/>
                <w:kern w:val="0"/>
                <w:sz w:val="20"/>
                <w:szCs w:val="20"/>
                <w:u w:val="none"/>
                <w:lang w:val="en-US" w:eastAsia="zh-CN" w:bidi="ar"/>
              </w:rPr>
              <w:t>年度无一般公共预算财政拨款“三公”经费支出”</w:t>
            </w:r>
            <w:r>
              <w:rPr>
                <w:rFonts w:hint="eastAsia" w:ascii="Times New Roman" w:hAnsi="Times New Roman" w:eastAsia="宋体" w:cs="Times New Roman"/>
                <w:b w:val="0"/>
                <w:bCs w:val="0"/>
                <w:i w:val="0"/>
                <w:color w:val="000000" w:themeColor="text1"/>
                <w:kern w:val="0"/>
                <w:sz w:val="20"/>
                <w:szCs w:val="20"/>
                <w:u w:val="none"/>
                <w:lang w:val="en-US" w:eastAsia="zh-CN" w:bidi="ar"/>
              </w:rPr>
              <w:t>。</w:t>
            </w:r>
          </w:p>
        </w:tc>
      </w:tr>
    </w:tbl>
    <w:p>
      <w:pPr>
        <w:pStyle w:val="38"/>
        <w:spacing w:beforeLines="0" w:afterLines="0"/>
        <w:ind w:firstLine="640"/>
        <w:rPr>
          <w:rFonts w:hint="default" w:ascii="Times New Roman" w:hAnsi="Times New Roman" w:cs="Times New Roman"/>
          <w:b w:val="0"/>
          <w:bCs w:val="0"/>
          <w:color w:val="000000" w:themeColor="text1"/>
          <w:szCs w:val="22"/>
          <w:u w:val="none"/>
        </w:rPr>
        <w:sectPr>
          <w:pgSz w:w="16838" w:h="11906" w:orient="landscape"/>
          <w:pgMar w:top="1191" w:right="1440" w:bottom="1191"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8"/>
        <w:spacing w:beforeLines="0" w:afterLines="0"/>
        <w:ind w:firstLine="0" w:firstLineChars="0"/>
        <w:rPr>
          <w:rFonts w:hint="default" w:ascii="Times New Roman" w:hAnsi="Times New Roman" w:cs="Times New Roman"/>
          <w:b w:val="0"/>
          <w:bCs w:val="0"/>
          <w:color w:val="000000" w:themeColor="text1"/>
          <w:szCs w:val="22"/>
          <w:u w:val="none"/>
        </w:rPr>
      </w:pPr>
    </w:p>
    <w:p>
      <w:pPr>
        <w:pStyle w:val="4"/>
        <w:keepNext/>
        <w:keepLines/>
        <w:pageBreakBefore w:val="0"/>
        <w:widowControl w:val="0"/>
        <w:numPr>
          <w:ilvl w:val="0"/>
          <w:numId w:val="2"/>
        </w:numPr>
        <w:kinsoku/>
        <w:wordWrap/>
        <w:overflowPunct/>
        <w:topLinePunct w:val="0"/>
        <w:autoSpaceDE/>
        <w:autoSpaceDN/>
        <w:bidi w:val="0"/>
        <w:adjustRightInd w:val="0"/>
        <w:snapToGrid w:val="0"/>
        <w:spacing w:afterLines="0"/>
        <w:ind w:leftChars="200"/>
        <w:jc w:val="center"/>
        <w:textAlignment w:val="auto"/>
        <w:rPr>
          <w:rFonts w:hint="default" w:ascii="Times New Roman" w:hAnsi="Times New Roman" w:cs="Times New Roman"/>
          <w:b w:val="0"/>
          <w:bCs w:val="0"/>
          <w:color w:val="000000" w:themeColor="text1"/>
          <w:u w:val="none"/>
        </w:rPr>
      </w:pPr>
      <w:bookmarkStart w:id="133" w:name="_Toc14864"/>
      <w:bookmarkStart w:id="134" w:name="_Toc6923"/>
      <w:bookmarkStart w:id="135" w:name="_Toc16220"/>
      <w:bookmarkStart w:id="136" w:name="_Toc9278"/>
      <w:bookmarkStart w:id="137" w:name="_Toc17722"/>
      <w:bookmarkStart w:id="138" w:name="_Toc27283"/>
      <w:bookmarkStart w:id="139" w:name="_Toc20752"/>
      <w:bookmarkStart w:id="140" w:name="_Toc9535"/>
      <w:bookmarkStart w:id="141" w:name="_Toc32026"/>
      <w:bookmarkStart w:id="142" w:name="_Toc16844"/>
      <w:bookmarkStart w:id="143" w:name="_Toc76129254"/>
      <w:bookmarkStart w:id="144" w:name="_Toc31300"/>
      <w:bookmarkStart w:id="145" w:name="_Toc3682"/>
      <w:bookmarkStart w:id="146" w:name="_Toc2416"/>
      <w:r>
        <w:rPr>
          <w:rFonts w:hint="eastAsia" w:cs="Times New Roman"/>
          <w:b w:val="0"/>
          <w:bCs w:val="0"/>
          <w:color w:val="000000" w:themeColor="text1"/>
          <w:u w:val="none"/>
          <w:lang w:eastAsia="zh-CN"/>
        </w:rPr>
        <w:t>中国人口福利基金会</w:t>
      </w:r>
      <w:r>
        <w:rPr>
          <w:rFonts w:hint="default" w:ascii="Times New Roman" w:hAnsi="Times New Roman" w:cs="Times New Roman"/>
          <w:b w:val="0"/>
          <w:bCs w:val="0"/>
          <w:color w:val="000000" w:themeColor="text1"/>
          <w:u w:val="none"/>
        </w:rPr>
        <w:t>202</w:t>
      </w:r>
      <w:r>
        <w:rPr>
          <w:rFonts w:hint="eastAsia" w:cs="Times New Roman"/>
          <w:b w:val="0"/>
          <w:bCs w:val="0"/>
          <w:color w:val="000000" w:themeColor="text1"/>
          <w:u w:val="none"/>
          <w:lang w:val="en-US" w:eastAsia="zh-CN"/>
        </w:rPr>
        <w:t>2</w:t>
      </w:r>
      <w:r>
        <w:rPr>
          <w:rFonts w:hint="default" w:ascii="Times New Roman" w:hAnsi="Times New Roman" w:cs="Times New Roman"/>
          <w:b w:val="0"/>
          <w:bCs w:val="0"/>
          <w:color w:val="000000" w:themeColor="text1"/>
          <w:u w:val="none"/>
        </w:rPr>
        <w:t>年度</w:t>
      </w:r>
    </w:p>
    <w:p>
      <w:pPr>
        <w:pStyle w:val="4"/>
        <w:keepNext/>
        <w:keepLines/>
        <w:pageBreakBefore w:val="0"/>
        <w:widowControl w:val="0"/>
        <w:numPr>
          <w:ilvl w:val="0"/>
          <w:numId w:val="0"/>
        </w:numPr>
        <w:kinsoku/>
        <w:wordWrap/>
        <w:overflowPunct/>
        <w:topLinePunct w:val="0"/>
        <w:autoSpaceDE/>
        <w:autoSpaceDN/>
        <w:bidi w:val="0"/>
        <w:adjustRightInd w:val="0"/>
        <w:snapToGrid w:val="0"/>
        <w:spacing w:afterLines="0"/>
        <w:ind w:firstLine="3240" w:firstLineChars="900"/>
        <w:jc w:val="both"/>
        <w:textAlignment w:val="auto"/>
        <w:rPr>
          <w:rFonts w:hint="default" w:ascii="Times New Roman" w:hAnsi="Times New Roman" w:cs="Times New Roman"/>
          <w:b w:val="0"/>
          <w:bCs w:val="0"/>
          <w:color w:val="000000" w:themeColor="text1"/>
          <w:u w:val="none"/>
        </w:rPr>
      </w:pPr>
      <w:r>
        <w:rPr>
          <w:rFonts w:hint="default" w:ascii="Times New Roman" w:hAnsi="Times New Roman" w:cs="Times New Roman"/>
          <w:b w:val="0"/>
          <w:bCs w:val="0"/>
          <w:color w:val="000000" w:themeColor="text1"/>
          <w:u w:val="none"/>
          <w:lang w:eastAsia="zh-CN"/>
        </w:rPr>
        <w:t>单位</w:t>
      </w:r>
      <w:r>
        <w:rPr>
          <w:rFonts w:hint="default" w:ascii="Times New Roman" w:hAnsi="Times New Roman" w:cs="Times New Roman"/>
          <w:b w:val="0"/>
          <w:bCs w:val="0"/>
          <w:color w:val="000000" w:themeColor="text1"/>
          <w:u w:val="none"/>
        </w:rPr>
        <w:t>决算情况说明</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rPr>
          <w:rFonts w:hint="default"/>
        </w:rPr>
      </w:pPr>
    </w:p>
    <w:p>
      <w:pPr>
        <w:keepNext/>
        <w:keepLines/>
        <w:pageBreakBefore w:val="0"/>
        <w:widowControl w:val="0"/>
        <w:kinsoku/>
        <w:wordWrap/>
        <w:overflowPunct/>
        <w:topLinePunct w:val="0"/>
        <w:bidi w:val="0"/>
        <w:adjustRightInd w:val="0"/>
        <w:snapToGrid w:val="0"/>
        <w:spacing w:line="360" w:lineRule="auto"/>
        <w:ind w:left="0" w:firstLine="640" w:firstLineChars="200"/>
        <w:jc w:val="both"/>
        <w:textAlignment w:val="auto"/>
        <w:outlineLvl w:val="1"/>
        <w:rPr>
          <w:rFonts w:hint="default" w:ascii="Times New Roman" w:hAnsi="Times New Roman" w:eastAsia="黑体" w:cs="Times New Roman"/>
          <w:b w:val="0"/>
          <w:bCs w:val="0"/>
          <w:color w:val="000000" w:themeColor="text1"/>
          <w:sz w:val="32"/>
          <w:szCs w:val="32"/>
          <w:u w:val="none"/>
        </w:rPr>
      </w:pPr>
      <w:bookmarkStart w:id="147" w:name="_Toc13808"/>
      <w:bookmarkStart w:id="148" w:name="_Toc10202"/>
      <w:bookmarkStart w:id="149" w:name="_Toc28665"/>
      <w:bookmarkStart w:id="150" w:name="_Toc27098"/>
      <w:bookmarkStart w:id="151" w:name="_Toc8095"/>
      <w:bookmarkStart w:id="152" w:name="_Toc4271"/>
      <w:bookmarkStart w:id="153" w:name="_Toc8418"/>
      <w:bookmarkStart w:id="154" w:name="_Toc13847"/>
      <w:bookmarkStart w:id="155" w:name="_Toc20912"/>
      <w:bookmarkStart w:id="156" w:name="_Toc7017"/>
      <w:bookmarkStart w:id="157" w:name="_Toc20177"/>
      <w:bookmarkStart w:id="158" w:name="_Toc76129255"/>
      <w:bookmarkStart w:id="159" w:name="_Toc28985"/>
      <w:r>
        <w:rPr>
          <w:rFonts w:hint="default" w:ascii="Times New Roman" w:hAnsi="Times New Roman" w:eastAsia="黑体" w:cs="Times New Roman"/>
          <w:b w:val="0"/>
          <w:bCs w:val="0"/>
          <w:color w:val="000000" w:themeColor="text1"/>
          <w:sz w:val="32"/>
          <w:szCs w:val="32"/>
          <w:u w:val="none"/>
        </w:rPr>
        <w:t>一、单位收支总体情况说明</w:t>
      </w:r>
      <w:bookmarkEnd w:id="147"/>
      <w:bookmarkEnd w:id="148"/>
      <w:bookmarkEnd w:id="149"/>
      <w:bookmarkEnd w:id="150"/>
      <w:bookmarkEnd w:id="151"/>
      <w:bookmarkEnd w:id="152"/>
      <w:bookmarkEnd w:id="153"/>
      <w:bookmarkEnd w:id="154"/>
      <w:bookmarkEnd w:id="155"/>
      <w:bookmarkEnd w:id="156"/>
      <w:bookmarkEnd w:id="157"/>
      <w:bookmarkEnd w:id="158"/>
      <w:bookmarkEnd w:id="159"/>
    </w:p>
    <w:p>
      <w:pPr>
        <w:keepNext/>
        <w:keepLines/>
        <w:numPr>
          <w:ilvl w:val="255"/>
          <w:numId w:val="0"/>
        </w:numPr>
        <w:adjustRightInd w:val="0"/>
        <w:snapToGrid w:val="0"/>
        <w:spacing w:line="360" w:lineRule="auto"/>
        <w:ind w:firstLine="640" w:firstLineChars="200"/>
        <w:rPr>
          <w:rFonts w:ascii="Times New Roman" w:hAnsi="Times New Roman" w:eastAsia="仿宋_GB2312"/>
          <w:color w:val="auto"/>
          <w:sz w:val="32"/>
          <w:szCs w:val="32"/>
        </w:rPr>
      </w:pPr>
      <w:r>
        <w:rPr>
          <w:rFonts w:hint="eastAsia" w:ascii="仿宋_GB2312" w:hAnsi="仿宋" w:eastAsia="仿宋_GB2312"/>
          <w:snapToGrid w:val="0"/>
          <w:kern w:val="0"/>
          <w:sz w:val="32"/>
          <w:szCs w:val="32"/>
        </w:rPr>
        <w:t>人口基金会202</w:t>
      </w:r>
      <w:r>
        <w:rPr>
          <w:rFonts w:hint="eastAsia" w:ascii="仿宋_GB2312" w:hAnsi="仿宋" w:eastAsia="仿宋_GB2312"/>
          <w:snapToGrid w:val="0"/>
          <w:kern w:val="0"/>
          <w:sz w:val="32"/>
          <w:szCs w:val="32"/>
          <w:lang w:val="en-US" w:eastAsia="zh-CN"/>
        </w:rPr>
        <w:t>2</w:t>
      </w:r>
      <w:r>
        <w:rPr>
          <w:rFonts w:ascii="Times New Roman" w:hAnsi="Times New Roman" w:eastAsia="仿宋_GB2312"/>
          <w:snapToGrid w:val="0"/>
          <w:color w:val="000000" w:themeColor="text1"/>
          <w:kern w:val="0"/>
          <w:sz w:val="32"/>
          <w:szCs w:val="32"/>
        </w:rPr>
        <w:t>年度</w:t>
      </w:r>
      <w:r>
        <w:rPr>
          <w:rFonts w:hint="eastAsia" w:ascii="Times New Roman" w:hAnsi="Times New Roman" w:eastAsia="仿宋_GB2312"/>
          <w:snapToGrid w:val="0"/>
          <w:color w:val="000000" w:themeColor="text1"/>
          <w:kern w:val="0"/>
          <w:sz w:val="32"/>
          <w:szCs w:val="32"/>
        </w:rPr>
        <w:t>总收入</w:t>
      </w:r>
      <w:r>
        <w:rPr>
          <w:rFonts w:hint="eastAsia" w:ascii="Times New Roman" w:hAnsi="Times New Roman" w:eastAsia="仿宋_GB2312"/>
          <w:snapToGrid w:val="0"/>
          <w:color w:val="000000" w:themeColor="text1"/>
          <w:kern w:val="0"/>
          <w:sz w:val="32"/>
          <w:szCs w:val="32"/>
          <w:lang w:val="en-US" w:eastAsia="zh-CN"/>
        </w:rPr>
        <w:t>89,940.44</w:t>
      </w:r>
      <w:r>
        <w:rPr>
          <w:rFonts w:hint="eastAsia" w:ascii="Times New Roman" w:hAnsi="Times New Roman" w:eastAsia="仿宋_GB2312"/>
          <w:snapToGrid w:val="0"/>
          <w:color w:val="000000" w:themeColor="text1"/>
          <w:kern w:val="0"/>
          <w:sz w:val="32"/>
          <w:szCs w:val="32"/>
        </w:rPr>
        <w:t>万元</w:t>
      </w:r>
      <w:r>
        <w:rPr>
          <w:rFonts w:ascii="Times New Roman" w:hAnsi="Times New Roman" w:eastAsia="仿宋_GB2312"/>
          <w:snapToGrid w:val="0"/>
          <w:color w:val="000000" w:themeColor="text1"/>
          <w:kern w:val="0"/>
          <w:sz w:val="32"/>
          <w:szCs w:val="32"/>
        </w:rPr>
        <w:t>，与</w:t>
      </w:r>
      <w:r>
        <w:rPr>
          <w:rFonts w:hint="eastAsia" w:ascii="仿宋_GB2312" w:hAnsi="仿宋" w:eastAsia="仿宋_GB2312"/>
          <w:snapToGrid w:val="0"/>
          <w:kern w:val="0"/>
          <w:sz w:val="32"/>
          <w:szCs w:val="32"/>
        </w:rPr>
        <w:t>202</w:t>
      </w:r>
      <w:r>
        <w:rPr>
          <w:rFonts w:hint="eastAsia" w:ascii="仿宋_GB2312" w:hAnsi="仿宋" w:eastAsia="仿宋_GB2312"/>
          <w:snapToGrid w:val="0"/>
          <w:kern w:val="0"/>
          <w:sz w:val="32"/>
          <w:szCs w:val="32"/>
          <w:lang w:val="en-US" w:eastAsia="zh-CN"/>
        </w:rPr>
        <w:t>1</w:t>
      </w:r>
      <w:r>
        <w:rPr>
          <w:rFonts w:ascii="Times New Roman" w:hAnsi="Times New Roman" w:eastAsia="仿宋_GB2312"/>
          <w:snapToGrid w:val="0"/>
          <w:color w:val="000000" w:themeColor="text1"/>
          <w:kern w:val="0"/>
          <w:sz w:val="32"/>
          <w:szCs w:val="32"/>
        </w:rPr>
        <w:t>年度相比，</w:t>
      </w:r>
      <w:r>
        <w:rPr>
          <w:rFonts w:hint="eastAsia" w:ascii="Times New Roman" w:hAnsi="Times New Roman" w:eastAsia="仿宋_GB2312"/>
          <w:snapToGrid w:val="0"/>
          <w:color w:val="000000" w:themeColor="text1"/>
          <w:kern w:val="0"/>
          <w:sz w:val="32"/>
          <w:szCs w:val="32"/>
        </w:rPr>
        <w:t>收</w:t>
      </w:r>
      <w:r>
        <w:rPr>
          <w:rFonts w:hint="eastAsia" w:ascii="Times New Roman" w:hAnsi="Times New Roman" w:eastAsia="仿宋_GB2312"/>
          <w:snapToGrid w:val="0"/>
          <w:color w:val="auto"/>
          <w:kern w:val="0"/>
          <w:sz w:val="32"/>
          <w:szCs w:val="32"/>
        </w:rPr>
        <w:t>入</w:t>
      </w:r>
      <w:r>
        <w:rPr>
          <w:rFonts w:hint="eastAsia" w:ascii="Times New Roman" w:hAnsi="Times New Roman" w:eastAsia="仿宋_GB2312"/>
          <w:snapToGrid w:val="0"/>
          <w:color w:val="auto"/>
          <w:kern w:val="0"/>
          <w:sz w:val="32"/>
          <w:szCs w:val="32"/>
          <w:lang w:eastAsia="zh-CN"/>
        </w:rPr>
        <w:t>减少</w:t>
      </w:r>
      <w:r>
        <w:rPr>
          <w:rFonts w:hint="eastAsia" w:ascii="Times New Roman" w:hAnsi="Times New Roman" w:eastAsia="仿宋_GB2312"/>
          <w:snapToGrid w:val="0"/>
          <w:color w:val="auto"/>
          <w:spacing w:val="-2"/>
          <w:kern w:val="0"/>
          <w:sz w:val="32"/>
          <w:szCs w:val="32"/>
          <w:lang w:val="en-US" w:eastAsia="zh-CN"/>
        </w:rPr>
        <w:t>16,592.77</w:t>
      </w:r>
      <w:r>
        <w:rPr>
          <w:rFonts w:ascii="Times New Roman" w:hAnsi="Times New Roman" w:eastAsia="仿宋_GB2312"/>
          <w:snapToGrid w:val="0"/>
          <w:color w:val="auto"/>
          <w:kern w:val="0"/>
          <w:sz w:val="32"/>
          <w:szCs w:val="32"/>
        </w:rPr>
        <w:t>万元，</w:t>
      </w:r>
      <w:r>
        <w:rPr>
          <w:rFonts w:hint="eastAsia" w:ascii="Times New Roman" w:hAnsi="Times New Roman" w:eastAsia="仿宋_GB2312"/>
          <w:snapToGrid w:val="0"/>
          <w:color w:val="auto"/>
          <w:kern w:val="0"/>
          <w:sz w:val="32"/>
          <w:szCs w:val="32"/>
          <w:lang w:eastAsia="zh-CN"/>
        </w:rPr>
        <w:t>减少</w:t>
      </w:r>
      <w:r>
        <w:rPr>
          <w:rFonts w:hint="eastAsia" w:ascii="Times New Roman" w:hAnsi="Times New Roman" w:eastAsia="仿宋_GB2312"/>
          <w:snapToGrid w:val="0"/>
          <w:color w:val="auto"/>
          <w:kern w:val="0"/>
          <w:sz w:val="32"/>
          <w:szCs w:val="32"/>
        </w:rPr>
        <w:t>1</w:t>
      </w:r>
      <w:r>
        <w:rPr>
          <w:rFonts w:hint="eastAsia" w:ascii="Times New Roman" w:hAnsi="Times New Roman" w:eastAsia="仿宋_GB2312"/>
          <w:snapToGrid w:val="0"/>
          <w:color w:val="auto"/>
          <w:kern w:val="0"/>
          <w:sz w:val="32"/>
          <w:szCs w:val="32"/>
          <w:lang w:val="en-US" w:eastAsia="zh-CN"/>
        </w:rPr>
        <w:t>6</w:t>
      </w:r>
      <w:r>
        <w:rPr>
          <w:rFonts w:ascii="Times New Roman" w:hAnsi="Times New Roman" w:eastAsia="仿宋_GB2312"/>
          <w:snapToGrid w:val="0"/>
          <w:color w:val="auto"/>
          <w:spacing w:val="2"/>
          <w:kern w:val="0"/>
          <w:sz w:val="32"/>
          <w:szCs w:val="32"/>
        </w:rPr>
        <w:t>%</w:t>
      </w:r>
      <w:r>
        <w:rPr>
          <w:rFonts w:ascii="Times New Roman" w:hAnsi="Times New Roman" w:eastAsia="仿宋_GB2312"/>
          <w:snapToGrid w:val="0"/>
          <w:color w:val="auto"/>
          <w:kern w:val="0"/>
          <w:sz w:val="32"/>
          <w:szCs w:val="32"/>
        </w:rPr>
        <w:t>，主要原因</w:t>
      </w:r>
      <w:r>
        <w:rPr>
          <w:rFonts w:hint="eastAsia" w:ascii="Times New Roman" w:hAnsi="Times New Roman" w:eastAsia="仿宋_GB2312"/>
          <w:color w:val="auto"/>
          <w:sz w:val="32"/>
          <w:szCs w:val="32"/>
        </w:rPr>
        <w:t>为疫情</w:t>
      </w:r>
      <w:r>
        <w:rPr>
          <w:rFonts w:hint="eastAsia" w:ascii="Times New Roman" w:hAnsi="Times New Roman" w:eastAsia="仿宋_GB2312"/>
          <w:color w:val="auto"/>
          <w:sz w:val="32"/>
          <w:szCs w:val="32"/>
          <w:lang w:eastAsia="zh-CN"/>
        </w:rPr>
        <w:t>形势下，经济环境下行，捐款量减少。</w:t>
      </w:r>
    </w:p>
    <w:p>
      <w:pPr>
        <w:keepNext/>
        <w:keepLines/>
        <w:numPr>
          <w:ilvl w:val="255"/>
          <w:numId w:val="0"/>
        </w:numPr>
        <w:adjustRightInd w:val="0"/>
        <w:snapToGrid w:val="0"/>
        <w:spacing w:line="360" w:lineRule="auto"/>
        <w:ind w:firstLine="640" w:firstLineChars="200"/>
      </w:pPr>
      <w:r>
        <w:rPr>
          <w:rFonts w:hint="eastAsia" w:ascii="仿宋_GB2312" w:hAnsi="仿宋" w:eastAsia="仿宋_GB2312"/>
          <w:snapToGrid w:val="0"/>
          <w:kern w:val="0"/>
          <w:sz w:val="32"/>
          <w:szCs w:val="32"/>
        </w:rPr>
        <w:t>人口基金会202</w:t>
      </w:r>
      <w:r>
        <w:rPr>
          <w:rFonts w:hint="eastAsia" w:ascii="仿宋_GB2312" w:hAnsi="仿宋" w:eastAsia="仿宋_GB2312"/>
          <w:snapToGrid w:val="0"/>
          <w:kern w:val="0"/>
          <w:sz w:val="32"/>
          <w:szCs w:val="32"/>
          <w:lang w:val="en-US" w:eastAsia="zh-CN"/>
        </w:rPr>
        <w:t>2</w:t>
      </w:r>
      <w:r>
        <w:rPr>
          <w:rFonts w:hint="eastAsia" w:ascii="仿宋_GB2312" w:hAnsi="仿宋" w:eastAsia="仿宋_GB2312"/>
          <w:snapToGrid w:val="0"/>
          <w:kern w:val="0"/>
          <w:sz w:val="32"/>
          <w:szCs w:val="32"/>
        </w:rPr>
        <w:t>年度总支出</w:t>
      </w:r>
      <w:r>
        <w:rPr>
          <w:rFonts w:hint="eastAsia" w:ascii="Times New Roman" w:hAnsi="Times New Roman" w:eastAsia="仿宋_GB2312"/>
          <w:snapToGrid w:val="0"/>
          <w:color w:val="000000" w:themeColor="text1"/>
          <w:kern w:val="0"/>
          <w:sz w:val="32"/>
          <w:szCs w:val="32"/>
          <w:lang w:val="en-US" w:eastAsia="zh-CN"/>
        </w:rPr>
        <w:t>89,940.44</w:t>
      </w:r>
      <w:r>
        <w:rPr>
          <w:rFonts w:hint="eastAsia" w:ascii="仿宋_GB2312" w:hAnsi="仿宋" w:eastAsia="仿宋_GB2312"/>
          <w:snapToGrid w:val="0"/>
          <w:kern w:val="0"/>
          <w:sz w:val="32"/>
          <w:szCs w:val="32"/>
        </w:rPr>
        <w:t>万元，与202</w:t>
      </w:r>
      <w:r>
        <w:rPr>
          <w:rFonts w:hint="eastAsia" w:ascii="仿宋_GB2312" w:hAnsi="仿宋" w:eastAsia="仿宋_GB2312"/>
          <w:snapToGrid w:val="0"/>
          <w:kern w:val="0"/>
          <w:sz w:val="32"/>
          <w:szCs w:val="32"/>
          <w:lang w:val="en-US" w:eastAsia="zh-CN"/>
        </w:rPr>
        <w:t>1</w:t>
      </w:r>
      <w:r>
        <w:rPr>
          <w:rFonts w:hint="eastAsia" w:ascii="仿宋_GB2312" w:hAnsi="仿宋" w:eastAsia="仿宋_GB2312"/>
          <w:snapToGrid w:val="0"/>
          <w:kern w:val="0"/>
          <w:sz w:val="32"/>
          <w:szCs w:val="32"/>
        </w:rPr>
        <w:t>年度相比，收入</w:t>
      </w:r>
      <w:r>
        <w:rPr>
          <w:rFonts w:hint="eastAsia" w:ascii="仿宋_GB2312" w:hAnsi="仿宋" w:eastAsia="仿宋_GB2312"/>
          <w:snapToGrid w:val="0"/>
          <w:color w:val="auto"/>
          <w:kern w:val="0"/>
          <w:sz w:val="32"/>
          <w:szCs w:val="32"/>
          <w:lang w:eastAsia="zh-CN"/>
        </w:rPr>
        <w:t>减少</w:t>
      </w:r>
      <w:r>
        <w:rPr>
          <w:rFonts w:hint="eastAsia" w:ascii="Times New Roman" w:hAnsi="Times New Roman" w:eastAsia="仿宋_GB2312"/>
          <w:snapToGrid w:val="0"/>
          <w:color w:val="auto"/>
          <w:spacing w:val="-2"/>
          <w:kern w:val="0"/>
          <w:sz w:val="32"/>
          <w:szCs w:val="32"/>
          <w:lang w:val="en-US" w:eastAsia="zh-CN"/>
        </w:rPr>
        <w:t>16,592.77</w:t>
      </w:r>
      <w:r>
        <w:rPr>
          <w:rFonts w:hint="eastAsia" w:ascii="仿宋_GB2312" w:hAnsi="仿宋" w:eastAsia="仿宋_GB2312"/>
          <w:snapToGrid w:val="0"/>
          <w:color w:val="auto"/>
          <w:kern w:val="0"/>
          <w:sz w:val="32"/>
          <w:szCs w:val="32"/>
        </w:rPr>
        <w:t>万元，</w:t>
      </w:r>
      <w:r>
        <w:rPr>
          <w:rFonts w:hint="eastAsia" w:ascii="仿宋_GB2312" w:hAnsi="仿宋" w:eastAsia="仿宋_GB2312"/>
          <w:snapToGrid w:val="0"/>
          <w:color w:val="auto"/>
          <w:kern w:val="0"/>
          <w:sz w:val="32"/>
          <w:szCs w:val="32"/>
          <w:lang w:eastAsia="zh-CN"/>
        </w:rPr>
        <w:t>减少</w:t>
      </w:r>
      <w:r>
        <w:rPr>
          <w:rFonts w:hint="eastAsia" w:ascii="仿宋_GB2312" w:hAnsi="仿宋" w:eastAsia="仿宋_GB2312"/>
          <w:snapToGrid w:val="0"/>
          <w:color w:val="auto"/>
          <w:kern w:val="0"/>
          <w:sz w:val="32"/>
          <w:szCs w:val="32"/>
        </w:rPr>
        <w:t>1</w:t>
      </w:r>
      <w:r>
        <w:rPr>
          <w:rFonts w:hint="eastAsia" w:ascii="仿宋_GB2312" w:hAnsi="仿宋" w:eastAsia="仿宋_GB2312"/>
          <w:snapToGrid w:val="0"/>
          <w:color w:val="auto"/>
          <w:kern w:val="0"/>
          <w:sz w:val="32"/>
          <w:szCs w:val="32"/>
          <w:lang w:val="en-US" w:eastAsia="zh-CN"/>
        </w:rPr>
        <w:t>6</w:t>
      </w:r>
      <w:r>
        <w:rPr>
          <w:rFonts w:hint="eastAsia" w:ascii="仿宋_GB2312" w:hAnsi="仿宋" w:eastAsia="仿宋_GB2312"/>
          <w:snapToGrid w:val="0"/>
          <w:color w:val="auto"/>
          <w:kern w:val="0"/>
          <w:sz w:val="32"/>
          <w:szCs w:val="32"/>
        </w:rPr>
        <w:t>%，</w:t>
      </w:r>
      <w:r>
        <w:rPr>
          <w:rFonts w:ascii="Times New Roman" w:hAnsi="Times New Roman" w:eastAsia="仿宋_GB2312"/>
          <w:snapToGrid w:val="0"/>
          <w:color w:val="auto"/>
          <w:kern w:val="0"/>
          <w:sz w:val="32"/>
          <w:szCs w:val="32"/>
        </w:rPr>
        <w:t>主要原因</w:t>
      </w:r>
      <w:r>
        <w:rPr>
          <w:rFonts w:hint="eastAsia" w:ascii="Times New Roman" w:hAnsi="Times New Roman" w:eastAsia="仿宋_GB2312"/>
          <w:color w:val="auto"/>
          <w:sz w:val="32"/>
          <w:szCs w:val="32"/>
        </w:rPr>
        <w:t>为疫情</w:t>
      </w:r>
      <w:r>
        <w:rPr>
          <w:rFonts w:hint="eastAsia" w:ascii="Times New Roman" w:hAnsi="Times New Roman" w:eastAsia="仿宋_GB2312"/>
          <w:color w:val="auto"/>
          <w:sz w:val="32"/>
          <w:szCs w:val="32"/>
          <w:lang w:eastAsia="zh-CN"/>
        </w:rPr>
        <w:t>形势下，经济环境下行，捐款量减少，对应的公益项目成本支出减少。</w:t>
      </w:r>
    </w:p>
    <w:p>
      <w:pPr>
        <w:spacing w:line="360" w:lineRule="auto"/>
        <w:ind w:firstLine="632" w:firstLineChars="200"/>
        <w:rPr>
          <w:rFonts w:ascii="仿宋_GB2312" w:hAnsi="仿宋" w:eastAsia="仿宋_GB2312"/>
          <w:snapToGrid w:val="0"/>
          <w:color w:val="auto"/>
          <w:kern w:val="0"/>
          <w:sz w:val="32"/>
          <w:szCs w:val="32"/>
        </w:rPr>
      </w:pPr>
      <w:r>
        <w:rPr>
          <w:rFonts w:ascii="Times New Roman" w:hAnsi="Times New Roman" w:eastAsia="仿宋_GB2312"/>
          <w:snapToGrid w:val="0"/>
          <w:color w:val="auto"/>
          <w:spacing w:val="-2"/>
          <w:kern w:val="0"/>
          <w:sz w:val="32"/>
          <w:szCs w:val="32"/>
        </w:rPr>
        <w:t>按收入结构划分，一般公共预算</w:t>
      </w:r>
      <w:r>
        <w:rPr>
          <w:rFonts w:hint="eastAsia" w:ascii="Times New Roman" w:hAnsi="Times New Roman" w:eastAsia="仿宋_GB2312"/>
          <w:snapToGrid w:val="0"/>
          <w:color w:val="auto"/>
          <w:spacing w:val="-2"/>
          <w:kern w:val="0"/>
          <w:sz w:val="32"/>
          <w:szCs w:val="32"/>
        </w:rPr>
        <w:t>财政</w:t>
      </w:r>
      <w:r>
        <w:rPr>
          <w:rFonts w:ascii="Times New Roman" w:hAnsi="Times New Roman" w:eastAsia="仿宋_GB2312"/>
          <w:snapToGrid w:val="0"/>
          <w:color w:val="auto"/>
          <w:spacing w:val="-2"/>
          <w:kern w:val="0"/>
          <w:sz w:val="32"/>
          <w:szCs w:val="32"/>
        </w:rPr>
        <w:t>拨款收入</w:t>
      </w:r>
      <w:r>
        <w:rPr>
          <w:rFonts w:hint="eastAsia" w:ascii="Times New Roman" w:hAnsi="Times New Roman" w:eastAsia="仿宋_GB2312"/>
          <w:snapToGrid w:val="0"/>
          <w:color w:val="auto"/>
          <w:spacing w:val="-2"/>
          <w:kern w:val="0"/>
          <w:sz w:val="32"/>
          <w:szCs w:val="32"/>
          <w:lang w:val="en-US" w:eastAsia="zh-CN"/>
        </w:rPr>
        <w:t>230</w:t>
      </w:r>
      <w:r>
        <w:rPr>
          <w:rFonts w:ascii="Times New Roman" w:hAnsi="Times New Roman" w:eastAsia="仿宋_GB2312"/>
          <w:snapToGrid w:val="0"/>
          <w:color w:val="auto"/>
          <w:spacing w:val="2"/>
          <w:kern w:val="0"/>
          <w:sz w:val="32"/>
          <w:szCs w:val="32"/>
        </w:rPr>
        <w:t>万元，占</w:t>
      </w:r>
      <w:r>
        <w:rPr>
          <w:rFonts w:hint="eastAsia" w:ascii="Times New Roman" w:hAnsi="Times New Roman" w:eastAsia="仿宋_GB2312"/>
          <w:snapToGrid w:val="0"/>
          <w:color w:val="auto"/>
          <w:spacing w:val="-2"/>
          <w:kern w:val="0"/>
          <w:sz w:val="32"/>
          <w:szCs w:val="32"/>
        </w:rPr>
        <w:t>0.</w:t>
      </w:r>
      <w:r>
        <w:rPr>
          <w:rFonts w:hint="eastAsia" w:ascii="Times New Roman" w:hAnsi="Times New Roman" w:eastAsia="仿宋_GB2312"/>
          <w:snapToGrid w:val="0"/>
          <w:color w:val="auto"/>
          <w:spacing w:val="-2"/>
          <w:kern w:val="0"/>
          <w:sz w:val="32"/>
          <w:szCs w:val="32"/>
          <w:lang w:val="en-US" w:eastAsia="zh-CN"/>
        </w:rPr>
        <w:t>26</w:t>
      </w:r>
      <w:r>
        <w:rPr>
          <w:rFonts w:ascii="Times New Roman" w:hAnsi="Times New Roman" w:eastAsia="仿宋_GB2312"/>
          <w:snapToGrid w:val="0"/>
          <w:color w:val="auto"/>
          <w:spacing w:val="2"/>
          <w:kern w:val="0"/>
          <w:sz w:val="32"/>
          <w:szCs w:val="32"/>
        </w:rPr>
        <w:t>%；</w:t>
      </w:r>
      <w:r>
        <w:rPr>
          <w:rFonts w:ascii="Times New Roman" w:hAnsi="Times New Roman" w:eastAsia="仿宋_GB2312"/>
          <w:snapToGrid w:val="0"/>
          <w:color w:val="auto"/>
          <w:kern w:val="0"/>
          <w:sz w:val="32"/>
          <w:szCs w:val="32"/>
        </w:rPr>
        <w:t>其他收入</w:t>
      </w:r>
      <w:r>
        <w:rPr>
          <w:rFonts w:hint="eastAsia" w:ascii="Times New Roman" w:hAnsi="Times New Roman" w:eastAsia="仿宋_GB2312"/>
          <w:snapToGrid w:val="0"/>
          <w:color w:val="auto"/>
          <w:spacing w:val="-2"/>
          <w:kern w:val="0"/>
          <w:sz w:val="32"/>
          <w:szCs w:val="32"/>
          <w:lang w:val="en-US" w:eastAsia="zh-CN"/>
        </w:rPr>
        <w:t>44,638.15</w:t>
      </w:r>
      <w:r>
        <w:rPr>
          <w:rFonts w:ascii="Times New Roman" w:hAnsi="Times New Roman" w:eastAsia="仿宋_GB2312"/>
          <w:snapToGrid w:val="0"/>
          <w:color w:val="auto"/>
          <w:kern w:val="0"/>
          <w:sz w:val="32"/>
          <w:szCs w:val="32"/>
        </w:rPr>
        <w:t>万元，占</w:t>
      </w:r>
      <w:r>
        <w:rPr>
          <w:rFonts w:hint="eastAsia" w:ascii="Times New Roman" w:hAnsi="Times New Roman" w:eastAsia="仿宋_GB2312"/>
          <w:snapToGrid w:val="0"/>
          <w:color w:val="auto"/>
          <w:spacing w:val="-2"/>
          <w:kern w:val="0"/>
          <w:sz w:val="32"/>
          <w:szCs w:val="32"/>
          <w:lang w:val="en-US" w:eastAsia="zh-CN"/>
        </w:rPr>
        <w:t>49.63</w:t>
      </w:r>
      <w:r>
        <w:rPr>
          <w:rFonts w:ascii="Times New Roman" w:hAnsi="Times New Roman" w:eastAsia="仿宋_GB2312"/>
          <w:snapToGrid w:val="0"/>
          <w:color w:val="auto"/>
          <w:kern w:val="0"/>
          <w:sz w:val="32"/>
          <w:szCs w:val="32"/>
        </w:rPr>
        <w:t>%</w:t>
      </w:r>
      <w:r>
        <w:rPr>
          <w:rFonts w:hint="eastAsia" w:ascii="Times New Roman" w:hAnsi="Times New Roman" w:eastAsia="仿宋_GB2312"/>
          <w:snapToGrid w:val="0"/>
          <w:color w:val="auto"/>
          <w:kern w:val="0"/>
          <w:sz w:val="32"/>
          <w:szCs w:val="32"/>
        </w:rPr>
        <w:t>;</w:t>
      </w:r>
      <w:r>
        <w:rPr>
          <w:rFonts w:hint="eastAsia" w:ascii="仿宋_GB2312" w:hAnsi="仿宋" w:eastAsia="仿宋_GB2312"/>
          <w:snapToGrid w:val="0"/>
          <w:color w:val="auto"/>
          <w:kern w:val="0"/>
          <w:sz w:val="32"/>
          <w:szCs w:val="32"/>
        </w:rPr>
        <w:t>年初结转和结余</w:t>
      </w:r>
      <w:r>
        <w:rPr>
          <w:rFonts w:hint="eastAsia" w:ascii="Times New Roman" w:hAnsi="Times New Roman" w:eastAsia="仿宋_GB2312"/>
          <w:snapToGrid w:val="0"/>
          <w:color w:val="auto"/>
          <w:spacing w:val="-2"/>
          <w:kern w:val="0"/>
          <w:sz w:val="32"/>
          <w:szCs w:val="32"/>
          <w:lang w:val="en-US" w:eastAsia="zh-CN"/>
        </w:rPr>
        <w:t>45,072.28</w:t>
      </w:r>
      <w:r>
        <w:rPr>
          <w:rFonts w:hint="eastAsia" w:ascii="仿宋_GB2312" w:hAnsi="仿宋" w:eastAsia="仿宋_GB2312"/>
          <w:snapToGrid w:val="0"/>
          <w:color w:val="auto"/>
          <w:kern w:val="0"/>
          <w:sz w:val="32"/>
          <w:szCs w:val="32"/>
        </w:rPr>
        <w:t>万元，占</w:t>
      </w:r>
      <w:r>
        <w:rPr>
          <w:rFonts w:hint="eastAsia" w:ascii="Times New Roman" w:hAnsi="Times New Roman" w:eastAsia="仿宋_GB2312"/>
          <w:snapToGrid w:val="0"/>
          <w:color w:val="auto"/>
          <w:spacing w:val="-2"/>
          <w:kern w:val="0"/>
          <w:sz w:val="32"/>
          <w:szCs w:val="32"/>
          <w:lang w:val="en-US" w:eastAsia="zh-CN"/>
        </w:rPr>
        <w:t>50.11</w:t>
      </w:r>
      <w:r>
        <w:rPr>
          <w:rFonts w:hint="eastAsia" w:ascii="Times New Roman" w:hAnsi="Times New Roman" w:eastAsia="仿宋_GB2312"/>
          <w:snapToGrid w:val="0"/>
          <w:color w:val="auto"/>
          <w:spacing w:val="-2"/>
          <w:kern w:val="0"/>
          <w:sz w:val="32"/>
          <w:szCs w:val="32"/>
        </w:rPr>
        <w:t>%</w:t>
      </w:r>
      <w:r>
        <w:rPr>
          <w:rFonts w:hint="eastAsia" w:ascii="仿宋_GB2312" w:hAnsi="仿宋" w:eastAsia="仿宋_GB2312"/>
          <w:snapToGrid w:val="0"/>
          <w:color w:val="auto"/>
          <w:kern w:val="0"/>
          <w:sz w:val="32"/>
          <w:szCs w:val="32"/>
        </w:rPr>
        <w:t>。</w:t>
      </w:r>
    </w:p>
    <w:p>
      <w:pPr>
        <w:adjustRightInd w:val="0"/>
        <w:snapToGrid w:val="0"/>
        <w:spacing w:line="360" w:lineRule="auto"/>
        <w:ind w:firstLine="640" w:firstLineChars="200"/>
        <w:rPr>
          <w:rFonts w:hint="eastAsia" w:ascii="Times New Roman" w:hAnsi="Times New Roman" w:eastAsia="仿宋_GB2312"/>
          <w:snapToGrid w:val="0"/>
          <w:color w:val="auto"/>
          <w:spacing w:val="-2"/>
          <w:kern w:val="0"/>
          <w:sz w:val="32"/>
          <w:szCs w:val="32"/>
        </w:rPr>
      </w:pPr>
      <w:r>
        <w:rPr>
          <w:rFonts w:ascii="Times New Roman" w:hAnsi="Times New Roman" w:eastAsia="仿宋_GB2312"/>
          <w:color w:val="auto"/>
          <w:sz w:val="32"/>
          <w:szCs w:val="30"/>
        </w:rPr>
        <w:t>按支出结构划分，卫生健康支出</w:t>
      </w:r>
      <w:r>
        <w:rPr>
          <w:rFonts w:hint="eastAsia" w:ascii="Times New Roman" w:hAnsi="Times New Roman" w:eastAsia="仿宋_GB2312"/>
          <w:snapToGrid w:val="0"/>
          <w:color w:val="auto"/>
          <w:spacing w:val="-11"/>
          <w:kern w:val="0"/>
          <w:sz w:val="32"/>
          <w:szCs w:val="32"/>
          <w:lang w:val="en-US" w:eastAsia="zh-CN"/>
        </w:rPr>
        <w:t>46,198.74</w:t>
      </w:r>
      <w:r>
        <w:rPr>
          <w:rFonts w:ascii="Times New Roman" w:hAnsi="Times New Roman" w:eastAsia="仿宋_GB2312"/>
          <w:color w:val="auto"/>
          <w:spacing w:val="-11"/>
          <w:sz w:val="32"/>
          <w:szCs w:val="30"/>
        </w:rPr>
        <w:t>万元，</w:t>
      </w:r>
      <w:r>
        <w:rPr>
          <w:rFonts w:ascii="Times New Roman" w:hAnsi="Times New Roman" w:eastAsia="仿宋_GB2312"/>
          <w:snapToGrid w:val="0"/>
          <w:color w:val="auto"/>
          <w:spacing w:val="-2"/>
          <w:kern w:val="0"/>
          <w:sz w:val="32"/>
          <w:szCs w:val="32"/>
        </w:rPr>
        <w:t>占</w:t>
      </w:r>
      <w:r>
        <w:rPr>
          <w:rFonts w:hint="eastAsia" w:ascii="Times New Roman" w:hAnsi="Times New Roman" w:eastAsia="仿宋_GB2312"/>
          <w:snapToGrid w:val="0"/>
          <w:color w:val="auto"/>
          <w:spacing w:val="-2"/>
          <w:kern w:val="0"/>
          <w:sz w:val="32"/>
          <w:szCs w:val="32"/>
          <w:lang w:val="en-US" w:eastAsia="zh-CN"/>
        </w:rPr>
        <w:t>51.37</w:t>
      </w:r>
      <w:r>
        <w:rPr>
          <w:rFonts w:ascii="Times New Roman" w:hAnsi="Times New Roman" w:eastAsia="仿宋_GB2312"/>
          <w:snapToGrid w:val="0"/>
          <w:color w:val="auto"/>
          <w:spacing w:val="-2"/>
          <w:kern w:val="0"/>
          <w:sz w:val="32"/>
          <w:szCs w:val="32"/>
        </w:rPr>
        <w:t>%</w:t>
      </w:r>
      <w:r>
        <w:rPr>
          <w:rFonts w:hint="eastAsia" w:ascii="Times New Roman" w:hAnsi="Times New Roman" w:eastAsia="仿宋_GB2312"/>
          <w:snapToGrid w:val="0"/>
          <w:color w:val="auto"/>
          <w:spacing w:val="-2"/>
          <w:kern w:val="0"/>
          <w:sz w:val="32"/>
          <w:szCs w:val="32"/>
        </w:rPr>
        <w:t>;结余分配</w:t>
      </w:r>
      <w:r>
        <w:rPr>
          <w:rFonts w:hint="eastAsia" w:ascii="Times New Roman" w:hAnsi="Times New Roman" w:eastAsia="仿宋_GB2312"/>
          <w:snapToGrid w:val="0"/>
          <w:color w:val="auto"/>
          <w:spacing w:val="-2"/>
          <w:kern w:val="0"/>
          <w:sz w:val="32"/>
          <w:szCs w:val="32"/>
          <w:lang w:val="en-US" w:eastAsia="zh-CN"/>
        </w:rPr>
        <w:t>377.63</w:t>
      </w:r>
      <w:r>
        <w:rPr>
          <w:rFonts w:hint="eastAsia" w:ascii="Times New Roman" w:hAnsi="Times New Roman" w:eastAsia="仿宋_GB2312"/>
          <w:snapToGrid w:val="0"/>
          <w:color w:val="auto"/>
          <w:spacing w:val="-2"/>
          <w:kern w:val="0"/>
          <w:sz w:val="32"/>
          <w:szCs w:val="32"/>
        </w:rPr>
        <w:t>万元，占比</w:t>
      </w:r>
      <w:r>
        <w:rPr>
          <w:rFonts w:hint="eastAsia" w:ascii="Times New Roman" w:hAnsi="Times New Roman" w:eastAsia="仿宋_GB2312"/>
          <w:snapToGrid w:val="0"/>
          <w:color w:val="auto"/>
          <w:spacing w:val="-2"/>
          <w:kern w:val="0"/>
          <w:sz w:val="32"/>
          <w:szCs w:val="32"/>
          <w:lang w:val="en-US" w:eastAsia="zh-CN"/>
        </w:rPr>
        <w:t>0.42</w:t>
      </w:r>
      <w:r>
        <w:rPr>
          <w:rFonts w:hint="eastAsia" w:ascii="Times New Roman" w:hAnsi="Times New Roman" w:eastAsia="仿宋_GB2312"/>
          <w:snapToGrid w:val="0"/>
          <w:color w:val="auto"/>
          <w:spacing w:val="-2"/>
          <w:kern w:val="0"/>
          <w:sz w:val="32"/>
          <w:szCs w:val="32"/>
        </w:rPr>
        <w:t>%；年末结转和结余</w:t>
      </w:r>
      <w:r>
        <w:rPr>
          <w:rFonts w:hint="eastAsia" w:ascii="Times New Roman" w:hAnsi="Times New Roman" w:eastAsia="仿宋_GB2312"/>
          <w:snapToGrid w:val="0"/>
          <w:color w:val="auto"/>
          <w:spacing w:val="-2"/>
          <w:kern w:val="0"/>
          <w:sz w:val="32"/>
          <w:szCs w:val="32"/>
          <w:lang w:val="en-US" w:eastAsia="zh-CN"/>
        </w:rPr>
        <w:t>43,364.06</w:t>
      </w:r>
      <w:r>
        <w:rPr>
          <w:rFonts w:hint="eastAsia" w:ascii="Times New Roman" w:hAnsi="Times New Roman" w:eastAsia="仿宋_GB2312"/>
          <w:snapToGrid w:val="0"/>
          <w:color w:val="auto"/>
          <w:spacing w:val="-2"/>
          <w:kern w:val="0"/>
          <w:sz w:val="32"/>
          <w:szCs w:val="32"/>
        </w:rPr>
        <w:t>万元，占比</w:t>
      </w:r>
      <w:r>
        <w:rPr>
          <w:rFonts w:hint="eastAsia" w:ascii="Times New Roman" w:hAnsi="Times New Roman" w:eastAsia="仿宋_GB2312"/>
          <w:snapToGrid w:val="0"/>
          <w:color w:val="auto"/>
          <w:spacing w:val="-2"/>
          <w:kern w:val="0"/>
          <w:sz w:val="32"/>
          <w:szCs w:val="32"/>
          <w:lang w:val="en-US" w:eastAsia="zh-CN"/>
        </w:rPr>
        <w:t>48.21</w:t>
      </w:r>
      <w:r>
        <w:rPr>
          <w:rFonts w:hint="eastAsia" w:ascii="Times New Roman" w:hAnsi="Times New Roman" w:eastAsia="仿宋_GB2312"/>
          <w:snapToGrid w:val="0"/>
          <w:color w:val="auto"/>
          <w:spacing w:val="-2"/>
          <w:kern w:val="0"/>
          <w:sz w:val="32"/>
          <w:szCs w:val="32"/>
        </w:rPr>
        <w:t>%。</w:t>
      </w:r>
      <w:bookmarkStart w:id="160" w:name="_Toc20017"/>
      <w:bookmarkStart w:id="161" w:name="_Toc22339"/>
      <w:bookmarkStart w:id="162" w:name="_Toc6677"/>
      <w:bookmarkStart w:id="163" w:name="_Toc10297"/>
      <w:bookmarkStart w:id="164" w:name="_Toc31608"/>
      <w:bookmarkStart w:id="165" w:name="_Toc13168"/>
      <w:bookmarkStart w:id="166" w:name="_Toc17976"/>
      <w:bookmarkStart w:id="167" w:name="_Toc19005"/>
      <w:bookmarkStart w:id="168" w:name="_Toc76129256"/>
      <w:bookmarkStart w:id="169" w:name="_Toc29750"/>
      <w:bookmarkStart w:id="170" w:name="_Toc30632"/>
      <w:bookmarkStart w:id="171" w:name="_Toc12193"/>
      <w:bookmarkStart w:id="172" w:name="_Toc2271"/>
    </w:p>
    <w:p>
      <w:pPr>
        <w:numPr>
          <w:ilvl w:val="0"/>
          <w:numId w:val="3"/>
        </w:numPr>
        <w:adjustRightInd w:val="0"/>
        <w:snapToGrid w:val="0"/>
        <w:spacing w:line="360" w:lineRule="auto"/>
        <w:ind w:firstLine="640" w:firstLineChars="200"/>
        <w:rPr>
          <w:rFonts w:hint="default" w:ascii="Times New Roman" w:hAnsi="Times New Roman" w:eastAsia="黑体" w:cs="Times New Roman"/>
          <w:b w:val="0"/>
          <w:bCs w:val="0"/>
          <w:color w:val="000000" w:themeColor="text1"/>
          <w:sz w:val="32"/>
          <w:szCs w:val="32"/>
          <w:u w:val="none"/>
        </w:rPr>
      </w:pPr>
      <w:r>
        <w:rPr>
          <w:rFonts w:hint="default" w:ascii="Times New Roman" w:hAnsi="Times New Roman" w:eastAsia="黑体" w:cs="Times New Roman"/>
          <w:b w:val="0"/>
          <w:bCs w:val="0"/>
          <w:color w:val="000000" w:themeColor="text1"/>
          <w:sz w:val="32"/>
          <w:szCs w:val="32"/>
          <w:u w:val="none"/>
        </w:rPr>
        <w:t>一般公共预算财政拨款支出情况说明</w:t>
      </w:r>
      <w:bookmarkEnd w:id="160"/>
      <w:bookmarkEnd w:id="161"/>
      <w:bookmarkEnd w:id="162"/>
      <w:bookmarkEnd w:id="163"/>
      <w:bookmarkEnd w:id="164"/>
      <w:bookmarkEnd w:id="165"/>
      <w:bookmarkEnd w:id="166"/>
      <w:bookmarkEnd w:id="167"/>
      <w:bookmarkEnd w:id="168"/>
      <w:bookmarkEnd w:id="169"/>
      <w:bookmarkEnd w:id="170"/>
      <w:bookmarkEnd w:id="171"/>
      <w:bookmarkStart w:id="173" w:name="_Toc2967"/>
      <w:bookmarkStart w:id="174" w:name="_Toc14106"/>
      <w:bookmarkStart w:id="175" w:name="_Toc15313"/>
    </w:p>
    <w:p>
      <w:pPr>
        <w:numPr>
          <w:ilvl w:val="0"/>
          <w:numId w:val="0"/>
        </w:numPr>
        <w:adjustRightInd w:val="0"/>
        <w:snapToGrid w:val="0"/>
        <w:spacing w:line="360" w:lineRule="auto"/>
        <w:ind w:firstLine="640" w:firstLineChars="200"/>
        <w:rPr>
          <w:rFonts w:hint="default" w:ascii="Times New Roman" w:hAnsi="Times New Roman" w:eastAsia="仿宋_GB2312" w:cs="Times New Roman"/>
          <w:b w:val="0"/>
          <w:bCs w:val="0"/>
          <w:color w:val="auto"/>
          <w:sz w:val="32"/>
          <w:szCs w:val="32"/>
          <w:u w:val="none"/>
          <w:lang w:eastAsia="zh-CN"/>
        </w:rPr>
      </w:pPr>
      <w:r>
        <w:rPr>
          <w:rFonts w:hint="eastAsia" w:ascii="Times New Roman" w:hAnsi="Times New Roman" w:eastAsia="仿宋_GB2312" w:cs="Times New Roman"/>
          <w:b w:val="0"/>
          <w:bCs w:val="0"/>
          <w:color w:val="auto"/>
          <w:sz w:val="32"/>
          <w:szCs w:val="32"/>
          <w:u w:val="none"/>
          <w:lang w:eastAsia="zh-CN"/>
        </w:rPr>
        <w:t>人口基金会</w:t>
      </w:r>
      <w:r>
        <w:rPr>
          <w:rFonts w:hint="default" w:ascii="Times New Roman" w:hAnsi="Times New Roman" w:eastAsia="仿宋_GB2312" w:cs="Times New Roman"/>
          <w:b w:val="0"/>
          <w:bCs w:val="0"/>
          <w:color w:val="auto"/>
          <w:sz w:val="32"/>
          <w:szCs w:val="32"/>
          <w:u w:val="none"/>
        </w:rPr>
        <w:t>202</w:t>
      </w:r>
      <w:r>
        <w:rPr>
          <w:rFonts w:hint="eastAsia" w:ascii="Times New Roman" w:hAnsi="Times New Roman" w:eastAsia="仿宋_GB2312" w:cs="Times New Roman"/>
          <w:b w:val="0"/>
          <w:bCs w:val="0"/>
          <w:color w:val="auto"/>
          <w:sz w:val="32"/>
          <w:szCs w:val="32"/>
          <w:u w:val="none"/>
          <w:lang w:val="en-US" w:eastAsia="zh-CN"/>
        </w:rPr>
        <w:t>2</w:t>
      </w:r>
      <w:r>
        <w:rPr>
          <w:rFonts w:hint="default" w:ascii="Times New Roman" w:hAnsi="Times New Roman" w:eastAsia="仿宋_GB2312" w:cs="Times New Roman"/>
          <w:b w:val="0"/>
          <w:bCs w:val="0"/>
          <w:color w:val="auto"/>
          <w:sz w:val="32"/>
          <w:szCs w:val="32"/>
          <w:u w:val="none"/>
        </w:rPr>
        <w:t>年度一般公共预算财政拨款支出</w:t>
      </w:r>
      <w:r>
        <w:rPr>
          <w:rFonts w:hint="eastAsia" w:ascii="Times New Roman" w:hAnsi="Times New Roman" w:eastAsia="仿宋_GB2312" w:cs="Times New Roman"/>
          <w:b w:val="0"/>
          <w:bCs w:val="0"/>
          <w:color w:val="auto"/>
          <w:sz w:val="32"/>
          <w:szCs w:val="32"/>
          <w:u w:val="none"/>
          <w:lang w:val="en-US" w:eastAsia="zh-CN"/>
        </w:rPr>
        <w:t>247.92</w:t>
      </w:r>
      <w:r>
        <w:rPr>
          <w:rFonts w:hint="default" w:ascii="Times New Roman" w:hAnsi="Times New Roman" w:eastAsia="仿宋_GB2312" w:cs="Times New Roman"/>
          <w:b w:val="0"/>
          <w:bCs w:val="0"/>
          <w:color w:val="auto"/>
          <w:sz w:val="32"/>
          <w:szCs w:val="32"/>
          <w:u w:val="none"/>
        </w:rPr>
        <w:t>万元，</w:t>
      </w:r>
      <w:r>
        <w:rPr>
          <w:rFonts w:hint="default" w:ascii="Times New Roman" w:hAnsi="Times New Roman" w:eastAsia="仿宋_GB2312" w:cs="Times New Roman"/>
          <w:b w:val="0"/>
          <w:bCs w:val="0"/>
          <w:snapToGrid w:val="0"/>
          <w:color w:val="auto"/>
          <w:kern w:val="0"/>
          <w:sz w:val="32"/>
          <w:szCs w:val="32"/>
          <w:u w:val="none"/>
        </w:rPr>
        <w:t>与</w:t>
      </w:r>
      <w:r>
        <w:rPr>
          <w:rFonts w:hint="default" w:ascii="Times New Roman" w:hAnsi="Times New Roman" w:eastAsia="仿宋_GB2312" w:cs="Times New Roman"/>
          <w:b w:val="0"/>
          <w:bCs w:val="0"/>
          <w:snapToGrid w:val="0"/>
          <w:color w:val="auto"/>
          <w:kern w:val="0"/>
          <w:sz w:val="32"/>
          <w:szCs w:val="32"/>
          <w:u w:val="none"/>
          <w:lang w:eastAsia="zh-CN"/>
        </w:rPr>
        <w:t>年初预算数</w:t>
      </w:r>
      <w:r>
        <w:rPr>
          <w:rFonts w:hint="default" w:ascii="Times New Roman" w:hAnsi="Times New Roman" w:eastAsia="仿宋_GB2312" w:cs="Times New Roman"/>
          <w:b w:val="0"/>
          <w:bCs w:val="0"/>
          <w:snapToGrid w:val="0"/>
          <w:color w:val="auto"/>
          <w:kern w:val="0"/>
          <w:sz w:val="32"/>
          <w:szCs w:val="32"/>
          <w:u w:val="none"/>
        </w:rPr>
        <w:t>相比，</w:t>
      </w:r>
      <w:r>
        <w:rPr>
          <w:rFonts w:hint="default" w:ascii="Times New Roman" w:hAnsi="Times New Roman" w:eastAsia="仿宋_GB2312" w:cs="Times New Roman"/>
          <w:b w:val="0"/>
          <w:bCs w:val="0"/>
          <w:snapToGrid w:val="0"/>
          <w:color w:val="auto"/>
          <w:kern w:val="0"/>
          <w:sz w:val="32"/>
          <w:szCs w:val="32"/>
          <w:u w:val="none"/>
          <w:lang w:eastAsia="zh-CN"/>
        </w:rPr>
        <w:t>增加</w:t>
      </w:r>
      <w:r>
        <w:rPr>
          <w:rFonts w:hint="eastAsia" w:ascii="Times New Roman" w:hAnsi="Times New Roman" w:eastAsia="仿宋_GB2312" w:cs="Times New Roman"/>
          <w:b w:val="0"/>
          <w:bCs w:val="0"/>
          <w:snapToGrid w:val="0"/>
          <w:color w:val="auto"/>
          <w:kern w:val="0"/>
          <w:sz w:val="32"/>
          <w:szCs w:val="32"/>
          <w:u w:val="none"/>
          <w:lang w:val="en-US" w:eastAsia="zh-CN"/>
        </w:rPr>
        <w:t>17.92</w:t>
      </w:r>
      <w:r>
        <w:rPr>
          <w:rFonts w:hint="default" w:ascii="Times New Roman" w:hAnsi="Times New Roman" w:eastAsia="仿宋_GB2312" w:cs="Times New Roman"/>
          <w:b w:val="0"/>
          <w:bCs w:val="0"/>
          <w:snapToGrid w:val="0"/>
          <w:color w:val="auto"/>
          <w:kern w:val="0"/>
          <w:sz w:val="32"/>
          <w:szCs w:val="32"/>
          <w:u w:val="none"/>
        </w:rPr>
        <w:t>万元，</w:t>
      </w:r>
      <w:r>
        <w:rPr>
          <w:rFonts w:hint="default" w:ascii="Times New Roman" w:hAnsi="Times New Roman" w:eastAsia="仿宋_GB2312" w:cs="Times New Roman"/>
          <w:b w:val="0"/>
          <w:bCs w:val="0"/>
          <w:snapToGrid w:val="0"/>
          <w:color w:val="auto"/>
          <w:kern w:val="0"/>
          <w:sz w:val="32"/>
          <w:szCs w:val="32"/>
          <w:u w:val="none"/>
          <w:lang w:eastAsia="zh-CN"/>
        </w:rPr>
        <w:t>增长</w:t>
      </w:r>
      <w:r>
        <w:rPr>
          <w:rFonts w:hint="eastAsia" w:ascii="Times New Roman" w:hAnsi="Times New Roman" w:eastAsia="仿宋_GB2312" w:cs="Times New Roman"/>
          <w:b w:val="0"/>
          <w:bCs w:val="0"/>
          <w:snapToGrid w:val="0"/>
          <w:color w:val="auto"/>
          <w:spacing w:val="-2"/>
          <w:kern w:val="0"/>
          <w:sz w:val="32"/>
          <w:szCs w:val="32"/>
          <w:u w:val="none"/>
          <w:lang w:val="en-US" w:eastAsia="zh-CN"/>
        </w:rPr>
        <w:t>7.79</w:t>
      </w:r>
      <w:r>
        <w:rPr>
          <w:rFonts w:hint="default" w:ascii="Times New Roman" w:hAnsi="Times New Roman" w:eastAsia="仿宋_GB2312" w:cs="Times New Roman"/>
          <w:b w:val="0"/>
          <w:bCs w:val="0"/>
          <w:snapToGrid w:val="0"/>
          <w:color w:val="auto"/>
          <w:spacing w:val="2"/>
          <w:kern w:val="0"/>
          <w:sz w:val="32"/>
          <w:szCs w:val="32"/>
          <w:u w:val="none"/>
        </w:rPr>
        <w:t>%</w:t>
      </w:r>
      <w:r>
        <w:rPr>
          <w:rFonts w:hint="default" w:ascii="Times New Roman" w:hAnsi="Times New Roman" w:eastAsia="仿宋_GB2312" w:cs="Times New Roman"/>
          <w:b w:val="0"/>
          <w:bCs w:val="0"/>
          <w:snapToGrid w:val="0"/>
          <w:color w:val="auto"/>
          <w:kern w:val="0"/>
          <w:sz w:val="32"/>
          <w:szCs w:val="32"/>
          <w:u w:val="none"/>
        </w:rPr>
        <w:t>，主要原因</w:t>
      </w:r>
      <w:r>
        <w:rPr>
          <w:rFonts w:hint="eastAsia" w:ascii="Times New Roman" w:hAnsi="Times New Roman" w:eastAsia="仿宋_GB2312" w:cs="Times New Roman"/>
          <w:b w:val="0"/>
          <w:bCs w:val="0"/>
          <w:color w:val="auto"/>
          <w:sz w:val="32"/>
          <w:szCs w:val="32"/>
          <w:u w:val="none"/>
          <w:lang w:eastAsia="zh-CN"/>
        </w:rPr>
        <w:t>上年结转结余</w:t>
      </w:r>
      <w:r>
        <w:rPr>
          <w:rFonts w:hint="default" w:ascii="Times New Roman" w:hAnsi="Times New Roman" w:eastAsia="仿宋_GB2312" w:cs="Times New Roman"/>
          <w:b w:val="0"/>
          <w:bCs w:val="0"/>
          <w:color w:val="auto"/>
          <w:sz w:val="32"/>
          <w:szCs w:val="32"/>
          <w:u w:val="none"/>
          <w:lang w:eastAsia="zh-CN"/>
        </w:rPr>
        <w:t>。</w:t>
      </w:r>
    </w:p>
    <w:p>
      <w:pPr>
        <w:numPr>
          <w:ilvl w:val="0"/>
          <w:numId w:val="0"/>
        </w:numPr>
        <w:adjustRightInd w:val="0"/>
        <w:snapToGrid w:val="0"/>
        <w:spacing w:line="360" w:lineRule="auto"/>
        <w:ind w:firstLine="640" w:firstLineChars="200"/>
        <w:rPr>
          <w:rFonts w:hint="default" w:ascii="Times New Roman" w:hAnsi="Times New Roman" w:eastAsia="仿宋_GB2312" w:cs="Times New Roman"/>
          <w:b w:val="0"/>
          <w:bCs w:val="0"/>
          <w:color w:val="000000" w:themeColor="text1"/>
          <w:sz w:val="32"/>
          <w:szCs w:val="32"/>
          <w:u w:val="none"/>
        </w:rPr>
      </w:pPr>
      <w:r>
        <w:rPr>
          <w:rFonts w:hint="default" w:ascii="Times New Roman" w:hAnsi="Times New Roman" w:eastAsia="仿宋_GB2312" w:cs="Times New Roman"/>
          <w:b w:val="0"/>
          <w:bCs w:val="0"/>
          <w:color w:val="000000" w:themeColor="text1"/>
          <w:sz w:val="32"/>
          <w:szCs w:val="32"/>
          <w:u w:val="none"/>
        </w:rPr>
        <w:t>具体情况如下：</w:t>
      </w:r>
      <w:bookmarkEnd w:id="173"/>
      <w:bookmarkEnd w:id="174"/>
      <w:bookmarkEnd w:id="175"/>
      <w:bookmarkStart w:id="176" w:name="_Toc24889"/>
    </w:p>
    <w:p>
      <w:pPr>
        <w:numPr>
          <w:ilvl w:val="0"/>
          <w:numId w:val="0"/>
        </w:numPr>
        <w:adjustRightInd w:val="0"/>
        <w:snapToGrid w:val="0"/>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210</w:t>
      </w:r>
      <w:r>
        <w:rPr>
          <w:rFonts w:ascii="Times New Roman" w:hAnsi="Times New Roman" w:eastAsia="仿宋_GB2312"/>
          <w:color w:val="000000" w:themeColor="text1"/>
          <w:sz w:val="32"/>
          <w:szCs w:val="32"/>
        </w:rPr>
        <w:t>类</w:t>
      </w:r>
      <w:r>
        <w:rPr>
          <w:rFonts w:hint="eastAsia" w:ascii="Times New Roman" w:hAnsi="Times New Roman" w:eastAsia="仿宋_GB2312"/>
          <w:color w:val="000000" w:themeColor="text1"/>
          <w:sz w:val="32"/>
          <w:szCs w:val="32"/>
        </w:rPr>
        <w:t>07</w:t>
      </w:r>
      <w:r>
        <w:rPr>
          <w:rFonts w:ascii="Times New Roman" w:hAnsi="Times New Roman" w:eastAsia="仿宋_GB2312"/>
          <w:color w:val="000000" w:themeColor="text1"/>
          <w:sz w:val="32"/>
          <w:szCs w:val="32"/>
        </w:rPr>
        <w:t>款</w:t>
      </w:r>
      <w:r>
        <w:rPr>
          <w:rFonts w:hint="eastAsia" w:ascii="Times New Roman" w:hAnsi="Times New Roman" w:eastAsia="仿宋_GB2312"/>
          <w:color w:val="000000" w:themeColor="text1"/>
          <w:sz w:val="32"/>
          <w:szCs w:val="32"/>
        </w:rPr>
        <w:t>17</w:t>
      </w:r>
      <w:r>
        <w:rPr>
          <w:rFonts w:ascii="Times New Roman" w:hAnsi="Times New Roman" w:eastAsia="仿宋_GB2312"/>
          <w:color w:val="000000" w:themeColor="text1"/>
          <w:sz w:val="32"/>
          <w:szCs w:val="32"/>
        </w:rPr>
        <w:t>项支出</w:t>
      </w:r>
      <w:r>
        <w:rPr>
          <w:rFonts w:hint="eastAsia" w:ascii="Times New Roman" w:hAnsi="Times New Roman" w:eastAsia="仿宋_GB2312"/>
          <w:color w:val="000000" w:themeColor="text1"/>
          <w:sz w:val="32"/>
          <w:szCs w:val="32"/>
          <w:lang w:val="en-US" w:eastAsia="zh-CN"/>
        </w:rPr>
        <w:t>247.92</w:t>
      </w:r>
      <w:r>
        <w:rPr>
          <w:rFonts w:ascii="Times New Roman" w:hAnsi="Times New Roman" w:eastAsia="仿宋_GB2312"/>
          <w:color w:val="000000" w:themeColor="text1"/>
          <w:sz w:val="32"/>
          <w:szCs w:val="32"/>
        </w:rPr>
        <w:t>万元，</w:t>
      </w:r>
      <w:r>
        <w:rPr>
          <w:rFonts w:hint="eastAsia" w:ascii="仿宋_GB2312" w:hAnsi="仿宋" w:eastAsia="仿宋_GB2312" w:cs="仿宋"/>
          <w:bCs/>
          <w:sz w:val="32"/>
          <w:szCs w:val="32"/>
        </w:rPr>
        <w:t>主要是用于“创建幸福家庭活动”“健康暖心筹资平台”、“中华人口奖”三个财政项目支出。</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jc w:val="both"/>
        <w:textAlignment w:val="auto"/>
        <w:outlineLvl w:val="1"/>
        <w:rPr>
          <w:rFonts w:hint="default" w:ascii="Times New Roman" w:hAnsi="Times New Roman" w:eastAsia="黑体" w:cs="Times New Roman"/>
          <w:b w:val="0"/>
          <w:bCs w:val="0"/>
          <w:color w:val="000000" w:themeColor="text1"/>
          <w:sz w:val="32"/>
          <w:szCs w:val="32"/>
          <w:u w:val="none"/>
        </w:rPr>
      </w:pPr>
      <w:r>
        <w:rPr>
          <w:rFonts w:hint="eastAsia" w:ascii="Times New Roman" w:hAnsi="Times New Roman" w:eastAsia="黑体" w:cs="Times New Roman"/>
          <w:b w:val="0"/>
          <w:bCs w:val="0"/>
          <w:color w:val="000000" w:themeColor="text1"/>
          <w:sz w:val="32"/>
          <w:szCs w:val="32"/>
          <w:u w:val="none"/>
          <w:lang w:eastAsia="zh-CN"/>
        </w:rPr>
        <w:t>三、</w:t>
      </w:r>
      <w:r>
        <w:rPr>
          <w:rFonts w:hint="default" w:ascii="Times New Roman" w:hAnsi="Times New Roman" w:eastAsia="黑体" w:cs="Times New Roman"/>
          <w:b w:val="0"/>
          <w:bCs w:val="0"/>
          <w:color w:val="000000" w:themeColor="text1"/>
          <w:sz w:val="32"/>
          <w:szCs w:val="32"/>
          <w:u w:val="none"/>
        </w:rPr>
        <w:t>政府性基金预算财政拨款收支情况说明。</w:t>
      </w:r>
      <w:bookmarkEnd w:id="176"/>
    </w:p>
    <w:p>
      <w:pPr>
        <w:pageBreakBefore w:val="0"/>
        <w:widowControl w:val="0"/>
        <w:numPr>
          <w:ilvl w:val="255"/>
          <w:numId w:val="0"/>
        </w:numPr>
        <w:kinsoku/>
        <w:wordWrap/>
        <w:overflowPunct/>
        <w:topLinePunct w:val="0"/>
        <w:bidi w:val="0"/>
        <w:adjustRightInd w:val="0"/>
        <w:snapToGrid w:val="0"/>
        <w:spacing w:line="360" w:lineRule="auto"/>
        <w:ind w:left="0" w:firstLine="640" w:firstLineChars="200"/>
        <w:jc w:val="both"/>
        <w:textAlignment w:val="auto"/>
        <w:rPr>
          <w:rFonts w:hint="default"/>
          <w:b/>
          <w:bCs/>
          <w:lang w:val="en-US" w:eastAsia="zh-CN"/>
        </w:rPr>
      </w:pPr>
      <w:r>
        <w:rPr>
          <w:rFonts w:hint="eastAsia" w:ascii="Times New Roman" w:hAnsi="Times New Roman" w:eastAsia="仿宋_GB2312" w:cs="Times New Roman"/>
          <w:b w:val="0"/>
          <w:bCs w:val="0"/>
          <w:snapToGrid w:val="0"/>
          <w:color w:val="000000" w:themeColor="text1"/>
          <w:sz w:val="32"/>
          <w:szCs w:val="20"/>
          <w:u w:val="none"/>
          <w:lang w:eastAsia="zh-CN"/>
        </w:rPr>
        <w:t>无</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jc w:val="both"/>
        <w:textAlignment w:val="auto"/>
        <w:outlineLvl w:val="1"/>
        <w:rPr>
          <w:rFonts w:hint="default" w:ascii="Times New Roman" w:hAnsi="Times New Roman" w:eastAsia="黑体" w:cs="Times New Roman"/>
          <w:b w:val="0"/>
          <w:bCs w:val="0"/>
          <w:color w:val="000000" w:themeColor="text1"/>
          <w:sz w:val="32"/>
          <w:szCs w:val="32"/>
          <w:u w:val="none"/>
        </w:rPr>
      </w:pPr>
      <w:bookmarkStart w:id="177" w:name="_Toc12019"/>
      <w:r>
        <w:rPr>
          <w:rFonts w:hint="eastAsia" w:ascii="Times New Roman" w:hAnsi="Times New Roman" w:eastAsia="黑体" w:cs="Times New Roman"/>
          <w:b w:val="0"/>
          <w:bCs w:val="0"/>
          <w:color w:val="000000" w:themeColor="text1"/>
          <w:sz w:val="32"/>
          <w:szCs w:val="32"/>
          <w:u w:val="none"/>
          <w:lang w:eastAsia="zh-CN"/>
        </w:rPr>
        <w:t>四、</w:t>
      </w:r>
      <w:r>
        <w:rPr>
          <w:rFonts w:hint="default" w:ascii="Times New Roman" w:hAnsi="Times New Roman" w:eastAsia="黑体" w:cs="Times New Roman"/>
          <w:b w:val="0"/>
          <w:bCs w:val="0"/>
          <w:color w:val="000000" w:themeColor="text1"/>
          <w:sz w:val="32"/>
          <w:szCs w:val="32"/>
          <w:u w:val="none"/>
        </w:rPr>
        <w:t>国有资本经营预算财政拨款收支情况说明。</w:t>
      </w:r>
      <w:bookmarkEnd w:id="177"/>
    </w:p>
    <w:p>
      <w:pPr>
        <w:pageBreakBefore w:val="0"/>
        <w:widowControl w:val="0"/>
        <w:numPr>
          <w:ilvl w:val="255"/>
          <w:numId w:val="0"/>
        </w:numPr>
        <w:kinsoku/>
        <w:wordWrap/>
        <w:overflowPunct/>
        <w:topLinePunct w:val="0"/>
        <w:autoSpaceDE/>
        <w:autoSpaceDN/>
        <w:bidi w:val="0"/>
        <w:adjustRightInd w:val="0"/>
        <w:snapToGrid w:val="0"/>
        <w:spacing w:line="360" w:lineRule="auto"/>
        <w:ind w:left="0" w:firstLine="640" w:firstLineChars="200"/>
        <w:jc w:val="both"/>
        <w:textAlignment w:val="auto"/>
        <w:rPr>
          <w:rFonts w:hint="eastAsia" w:ascii="Times New Roman" w:hAnsi="Times New Roman" w:eastAsia="仿宋_GB2312" w:cs="Times New Roman"/>
          <w:b w:val="0"/>
          <w:bCs w:val="0"/>
          <w:snapToGrid w:val="0"/>
          <w:color w:val="000000" w:themeColor="text1"/>
          <w:sz w:val="32"/>
          <w:szCs w:val="20"/>
          <w:u w:val="none"/>
          <w:lang w:eastAsia="zh-CN"/>
        </w:rPr>
      </w:pPr>
      <w:r>
        <w:rPr>
          <w:rFonts w:hint="eastAsia" w:ascii="Times New Roman" w:hAnsi="Times New Roman" w:eastAsia="仿宋_GB2312" w:cs="Times New Roman"/>
          <w:b w:val="0"/>
          <w:bCs w:val="0"/>
          <w:snapToGrid w:val="0"/>
          <w:color w:val="000000" w:themeColor="text1"/>
          <w:sz w:val="32"/>
          <w:szCs w:val="20"/>
          <w:u w:val="none"/>
          <w:lang w:eastAsia="zh-CN"/>
        </w:rPr>
        <w:t>无</w:t>
      </w:r>
      <w:bookmarkEnd w:id="172"/>
      <w:bookmarkStart w:id="178" w:name="_Toc76129260"/>
      <w:bookmarkStart w:id="179" w:name="_Toc20548"/>
      <w:bookmarkStart w:id="180" w:name="_Toc26205"/>
      <w:bookmarkStart w:id="181" w:name="_Toc20059"/>
      <w:bookmarkStart w:id="182" w:name="_Toc21870"/>
      <w:bookmarkStart w:id="183" w:name="_Toc25445"/>
      <w:bookmarkStart w:id="184" w:name="_Toc9351"/>
      <w:bookmarkStart w:id="185" w:name="_Toc15823"/>
      <w:bookmarkStart w:id="186" w:name="_Toc18449"/>
      <w:bookmarkStart w:id="187" w:name="_Toc8199"/>
      <w:bookmarkStart w:id="188" w:name="_Toc14095"/>
      <w:bookmarkStart w:id="189" w:name="_Toc18862"/>
      <w:bookmarkStart w:id="190" w:name="_Toc27359"/>
    </w:p>
    <w:p>
      <w:pPr>
        <w:pageBreakBefore w:val="0"/>
        <w:widowControl w:val="0"/>
        <w:numPr>
          <w:ilvl w:val="0"/>
          <w:numId w:val="0"/>
        </w:numPr>
        <w:kinsoku/>
        <w:wordWrap/>
        <w:overflowPunct/>
        <w:topLinePunct w:val="0"/>
        <w:autoSpaceDE/>
        <w:autoSpaceDN/>
        <w:bidi w:val="0"/>
        <w:adjustRightInd w:val="0"/>
        <w:snapToGrid w:val="0"/>
        <w:spacing w:line="360" w:lineRule="auto"/>
        <w:ind w:leftChars="200" w:firstLine="320" w:firstLineChars="100"/>
        <w:jc w:val="both"/>
        <w:textAlignment w:val="auto"/>
        <w:rPr>
          <w:rFonts w:hint="default" w:ascii="Times New Roman" w:hAnsi="Times New Roman" w:eastAsia="黑体" w:cs="Times New Roman"/>
          <w:b w:val="0"/>
          <w:bCs w:val="0"/>
          <w:color w:val="000000" w:themeColor="text1"/>
          <w:sz w:val="32"/>
          <w:szCs w:val="32"/>
          <w:u w:val="none"/>
        </w:rPr>
      </w:pPr>
      <w:r>
        <w:rPr>
          <w:rFonts w:hint="eastAsia" w:ascii="Times New Roman" w:hAnsi="Times New Roman" w:eastAsia="黑体" w:cs="Times New Roman"/>
          <w:b w:val="0"/>
          <w:bCs w:val="0"/>
          <w:color w:val="000000" w:themeColor="text1"/>
          <w:sz w:val="32"/>
          <w:szCs w:val="32"/>
          <w:u w:val="none"/>
          <w:lang w:eastAsia="zh-CN"/>
        </w:rPr>
        <w:t>五、</w:t>
      </w:r>
      <w:r>
        <w:rPr>
          <w:rFonts w:hint="default" w:ascii="Times New Roman" w:hAnsi="Times New Roman" w:eastAsia="黑体" w:cs="Times New Roman"/>
          <w:b w:val="0"/>
          <w:bCs w:val="0"/>
          <w:color w:val="000000" w:themeColor="text1"/>
          <w:sz w:val="32"/>
          <w:szCs w:val="32"/>
          <w:u w:val="none"/>
        </w:rPr>
        <w:t>其他重要事项情况说明</w:t>
      </w:r>
      <w:bookmarkEnd w:id="178"/>
      <w:bookmarkEnd w:id="179"/>
      <w:bookmarkEnd w:id="180"/>
      <w:bookmarkEnd w:id="181"/>
      <w:bookmarkEnd w:id="182"/>
      <w:bookmarkEnd w:id="183"/>
      <w:bookmarkEnd w:id="184"/>
      <w:bookmarkEnd w:id="185"/>
      <w:bookmarkEnd w:id="186"/>
      <w:bookmarkEnd w:id="187"/>
      <w:bookmarkEnd w:id="188"/>
      <w:bookmarkEnd w:id="189"/>
      <w:bookmarkEnd w:id="190"/>
      <w:bookmarkStart w:id="191" w:name="_Toc6316"/>
      <w:bookmarkStart w:id="192" w:name="_Toc13066"/>
      <w:bookmarkStart w:id="193" w:name="_Toc32612"/>
    </w:p>
    <w:p>
      <w:pPr>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楷体_GB2312" w:cs="Times New Roman"/>
          <w:b w:val="0"/>
          <w:bCs w:val="0"/>
          <w:color w:val="000000" w:themeColor="text1"/>
          <w:kern w:val="0"/>
          <w:sz w:val="32"/>
          <w:szCs w:val="32"/>
          <w:u w:val="none"/>
          <w:lang w:val="en-US" w:eastAsia="zh-CN" w:bidi="ar-SA"/>
        </w:rPr>
      </w:pPr>
      <w:r>
        <w:rPr>
          <w:rFonts w:hint="eastAsia" w:ascii="Times New Roman" w:hAnsi="Times New Roman" w:eastAsia="楷体_GB2312" w:cs="Times New Roman"/>
          <w:b w:val="0"/>
          <w:bCs w:val="0"/>
          <w:color w:val="000000" w:themeColor="text1"/>
          <w:kern w:val="0"/>
          <w:sz w:val="32"/>
          <w:szCs w:val="32"/>
          <w:u w:val="none"/>
          <w:lang w:val="en-US" w:eastAsia="zh-CN" w:bidi="ar-SA"/>
        </w:rPr>
        <w:t>（一）</w:t>
      </w:r>
      <w:r>
        <w:rPr>
          <w:rFonts w:hint="default" w:ascii="Times New Roman" w:hAnsi="Times New Roman" w:eastAsia="楷体_GB2312" w:cs="Times New Roman"/>
          <w:b w:val="0"/>
          <w:bCs w:val="0"/>
          <w:color w:val="000000" w:themeColor="text1"/>
          <w:kern w:val="0"/>
          <w:sz w:val="32"/>
          <w:szCs w:val="32"/>
          <w:u w:val="none"/>
          <w:lang w:val="en-US" w:eastAsia="zh-CN" w:bidi="ar-SA"/>
        </w:rPr>
        <w:t>政府采购情况。</w:t>
      </w:r>
      <w:bookmarkEnd w:id="191"/>
      <w:bookmarkEnd w:id="192"/>
      <w:bookmarkEnd w:id="193"/>
    </w:p>
    <w:p>
      <w:pPr>
        <w:pageBreakBefore w:val="0"/>
        <w:widowControl w:val="0"/>
        <w:kinsoku/>
        <w:wordWrap/>
        <w:overflowPunct/>
        <w:topLinePunct w:val="0"/>
        <w:bidi w:val="0"/>
        <w:adjustRightInd w:val="0"/>
        <w:snapToGrid w:val="0"/>
        <w:spacing w:line="360" w:lineRule="auto"/>
        <w:ind w:left="0" w:firstLine="632" w:firstLineChars="200"/>
        <w:jc w:val="both"/>
        <w:textAlignment w:val="auto"/>
        <w:rPr>
          <w:rFonts w:hint="eastAsia" w:ascii="Times New Roman" w:hAnsi="Times New Roman" w:eastAsia="仿宋_GB2312" w:cs="Times New Roman"/>
          <w:b w:val="0"/>
          <w:bCs w:val="0"/>
          <w:snapToGrid w:val="0"/>
          <w:color w:val="auto"/>
          <w:spacing w:val="-2"/>
          <w:kern w:val="0"/>
          <w:sz w:val="32"/>
          <w:szCs w:val="32"/>
          <w:u w:val="none"/>
          <w:lang w:eastAsia="zh-CN"/>
        </w:rPr>
      </w:pPr>
      <w:r>
        <w:rPr>
          <w:rFonts w:hint="default" w:ascii="Times New Roman" w:hAnsi="Times New Roman" w:eastAsia="仿宋_GB2312" w:cs="Times New Roman"/>
          <w:b w:val="0"/>
          <w:bCs w:val="0"/>
          <w:snapToGrid w:val="0"/>
          <w:color w:val="auto"/>
          <w:spacing w:val="-2"/>
          <w:kern w:val="0"/>
          <w:sz w:val="32"/>
          <w:szCs w:val="32"/>
          <w:u w:val="none"/>
        </w:rPr>
        <w:t>202</w:t>
      </w:r>
      <w:r>
        <w:rPr>
          <w:rFonts w:hint="eastAsia" w:ascii="Times New Roman" w:hAnsi="Times New Roman" w:eastAsia="仿宋_GB2312" w:cs="Times New Roman"/>
          <w:b w:val="0"/>
          <w:bCs w:val="0"/>
          <w:snapToGrid w:val="0"/>
          <w:color w:val="auto"/>
          <w:spacing w:val="-2"/>
          <w:kern w:val="0"/>
          <w:sz w:val="32"/>
          <w:szCs w:val="32"/>
          <w:u w:val="none"/>
          <w:lang w:val="en-US" w:eastAsia="zh-CN"/>
        </w:rPr>
        <w:t>2</w:t>
      </w:r>
      <w:r>
        <w:rPr>
          <w:rFonts w:hint="default" w:ascii="Times New Roman" w:hAnsi="Times New Roman" w:eastAsia="仿宋_GB2312" w:cs="Times New Roman"/>
          <w:b w:val="0"/>
          <w:bCs w:val="0"/>
          <w:snapToGrid w:val="0"/>
          <w:color w:val="auto"/>
          <w:spacing w:val="-2"/>
          <w:kern w:val="0"/>
          <w:sz w:val="32"/>
          <w:szCs w:val="32"/>
          <w:u w:val="none"/>
        </w:rPr>
        <w:t>年度政府采购支出总额</w:t>
      </w:r>
      <w:r>
        <w:rPr>
          <w:rFonts w:hint="eastAsia" w:ascii="Times New Roman" w:hAnsi="Times New Roman" w:eastAsia="仿宋_GB2312" w:cs="Times New Roman"/>
          <w:b w:val="0"/>
          <w:bCs w:val="0"/>
          <w:snapToGrid w:val="0"/>
          <w:color w:val="auto"/>
          <w:spacing w:val="-2"/>
          <w:kern w:val="0"/>
          <w:sz w:val="32"/>
          <w:szCs w:val="32"/>
          <w:u w:val="none"/>
          <w:lang w:val="en-US" w:eastAsia="zh-CN"/>
        </w:rPr>
        <w:t>4256</w:t>
      </w:r>
      <w:r>
        <w:rPr>
          <w:rFonts w:hint="default" w:ascii="Times New Roman" w:hAnsi="Times New Roman" w:eastAsia="仿宋_GB2312" w:cs="Times New Roman"/>
          <w:b w:val="0"/>
          <w:bCs w:val="0"/>
          <w:snapToGrid w:val="0"/>
          <w:color w:val="auto"/>
          <w:spacing w:val="-2"/>
          <w:kern w:val="0"/>
          <w:sz w:val="32"/>
          <w:szCs w:val="32"/>
          <w:u w:val="none"/>
        </w:rPr>
        <w:t>万元，其中：政府采购货物支出</w:t>
      </w:r>
      <w:r>
        <w:rPr>
          <w:rFonts w:hint="eastAsia" w:ascii="Times New Roman" w:hAnsi="Times New Roman" w:eastAsia="仿宋_GB2312" w:cs="Times New Roman"/>
          <w:b w:val="0"/>
          <w:bCs w:val="0"/>
          <w:snapToGrid w:val="0"/>
          <w:color w:val="auto"/>
          <w:spacing w:val="-2"/>
          <w:kern w:val="0"/>
          <w:sz w:val="32"/>
          <w:szCs w:val="32"/>
          <w:u w:val="none"/>
          <w:lang w:val="en-US" w:eastAsia="zh-CN"/>
        </w:rPr>
        <w:t>1150</w:t>
      </w:r>
      <w:r>
        <w:rPr>
          <w:rFonts w:hint="default" w:ascii="Times New Roman" w:hAnsi="Times New Roman" w:eastAsia="仿宋_GB2312" w:cs="Times New Roman"/>
          <w:b w:val="0"/>
          <w:bCs w:val="0"/>
          <w:snapToGrid w:val="0"/>
          <w:color w:val="auto"/>
          <w:spacing w:val="-2"/>
          <w:kern w:val="0"/>
          <w:sz w:val="32"/>
          <w:szCs w:val="32"/>
          <w:u w:val="none"/>
        </w:rPr>
        <w:t>万元、政府采购服务支出</w:t>
      </w:r>
      <w:r>
        <w:rPr>
          <w:rFonts w:hint="eastAsia" w:ascii="Times New Roman" w:hAnsi="Times New Roman" w:eastAsia="仿宋_GB2312" w:cs="Times New Roman"/>
          <w:b w:val="0"/>
          <w:bCs w:val="0"/>
          <w:snapToGrid w:val="0"/>
          <w:color w:val="auto"/>
          <w:spacing w:val="-2"/>
          <w:kern w:val="0"/>
          <w:sz w:val="32"/>
          <w:szCs w:val="32"/>
          <w:u w:val="none"/>
          <w:lang w:val="en-US" w:eastAsia="zh-CN"/>
        </w:rPr>
        <w:t>3105</w:t>
      </w:r>
      <w:r>
        <w:rPr>
          <w:rFonts w:hint="default" w:ascii="Times New Roman" w:hAnsi="Times New Roman" w:eastAsia="仿宋_GB2312" w:cs="Times New Roman"/>
          <w:b w:val="0"/>
          <w:bCs w:val="0"/>
          <w:snapToGrid w:val="0"/>
          <w:color w:val="auto"/>
          <w:spacing w:val="-2"/>
          <w:kern w:val="0"/>
          <w:sz w:val="32"/>
          <w:szCs w:val="32"/>
          <w:u w:val="none"/>
        </w:rPr>
        <w:t>万元。授予中小企业合同金额</w:t>
      </w:r>
      <w:r>
        <w:rPr>
          <w:rFonts w:hint="eastAsia" w:ascii="Times New Roman" w:hAnsi="Times New Roman" w:eastAsia="仿宋_GB2312" w:cs="Times New Roman"/>
          <w:b w:val="0"/>
          <w:bCs w:val="0"/>
          <w:snapToGrid w:val="0"/>
          <w:color w:val="auto"/>
          <w:spacing w:val="-2"/>
          <w:kern w:val="0"/>
          <w:sz w:val="32"/>
          <w:szCs w:val="32"/>
          <w:u w:val="none"/>
          <w:lang w:val="en-US" w:eastAsia="zh-CN"/>
        </w:rPr>
        <w:t>4200</w:t>
      </w:r>
      <w:r>
        <w:rPr>
          <w:rFonts w:hint="default" w:ascii="Times New Roman" w:hAnsi="Times New Roman" w:eastAsia="仿宋_GB2312" w:cs="Times New Roman"/>
          <w:b w:val="0"/>
          <w:bCs w:val="0"/>
          <w:snapToGrid w:val="0"/>
          <w:color w:val="auto"/>
          <w:spacing w:val="-2"/>
          <w:kern w:val="0"/>
          <w:sz w:val="32"/>
          <w:szCs w:val="32"/>
          <w:u w:val="none"/>
        </w:rPr>
        <w:t>万元，占政府采购支出总额的</w:t>
      </w:r>
      <w:r>
        <w:rPr>
          <w:rFonts w:hint="eastAsia" w:ascii="Times New Roman" w:hAnsi="Times New Roman" w:eastAsia="仿宋_GB2312" w:cs="Times New Roman"/>
          <w:b w:val="0"/>
          <w:bCs w:val="0"/>
          <w:snapToGrid w:val="0"/>
          <w:color w:val="auto"/>
          <w:spacing w:val="-2"/>
          <w:kern w:val="0"/>
          <w:sz w:val="32"/>
          <w:szCs w:val="32"/>
          <w:u w:val="none"/>
          <w:lang w:val="en-US" w:eastAsia="zh-CN"/>
        </w:rPr>
        <w:t>98</w:t>
      </w:r>
      <w:r>
        <w:rPr>
          <w:rFonts w:hint="default" w:ascii="Times New Roman" w:hAnsi="Times New Roman" w:eastAsia="仿宋_GB2312" w:cs="Times New Roman"/>
          <w:b w:val="0"/>
          <w:bCs w:val="0"/>
          <w:snapToGrid w:val="0"/>
          <w:color w:val="auto"/>
          <w:spacing w:val="-2"/>
          <w:kern w:val="0"/>
          <w:sz w:val="32"/>
          <w:szCs w:val="32"/>
          <w:u w:val="none"/>
        </w:rPr>
        <w:t>%，其中：授予小微企业合同金额</w:t>
      </w:r>
      <w:r>
        <w:rPr>
          <w:rFonts w:hint="eastAsia" w:ascii="Times New Roman" w:hAnsi="Times New Roman" w:eastAsia="仿宋_GB2312" w:cs="Times New Roman"/>
          <w:b w:val="0"/>
          <w:bCs w:val="0"/>
          <w:snapToGrid w:val="0"/>
          <w:color w:val="auto"/>
          <w:spacing w:val="-2"/>
          <w:kern w:val="0"/>
          <w:sz w:val="32"/>
          <w:szCs w:val="32"/>
          <w:u w:val="none"/>
          <w:lang w:val="en-US" w:eastAsia="zh-CN"/>
        </w:rPr>
        <w:t>884</w:t>
      </w:r>
      <w:r>
        <w:rPr>
          <w:rFonts w:hint="default" w:ascii="Times New Roman" w:hAnsi="Times New Roman" w:eastAsia="仿宋_GB2312" w:cs="Times New Roman"/>
          <w:b w:val="0"/>
          <w:bCs w:val="0"/>
          <w:snapToGrid w:val="0"/>
          <w:color w:val="auto"/>
          <w:spacing w:val="-2"/>
          <w:kern w:val="0"/>
          <w:sz w:val="32"/>
          <w:szCs w:val="32"/>
          <w:u w:val="none"/>
        </w:rPr>
        <w:t>万元，占授予中小企业合同金额的</w:t>
      </w:r>
      <w:r>
        <w:rPr>
          <w:rFonts w:hint="eastAsia" w:ascii="Times New Roman" w:hAnsi="Times New Roman" w:eastAsia="仿宋_GB2312" w:cs="Times New Roman"/>
          <w:b w:val="0"/>
          <w:bCs w:val="0"/>
          <w:snapToGrid w:val="0"/>
          <w:color w:val="auto"/>
          <w:spacing w:val="-2"/>
          <w:kern w:val="0"/>
          <w:sz w:val="32"/>
          <w:szCs w:val="32"/>
          <w:u w:val="none"/>
          <w:lang w:val="en-US" w:eastAsia="zh-CN"/>
        </w:rPr>
        <w:t>21</w:t>
      </w:r>
      <w:r>
        <w:rPr>
          <w:rFonts w:hint="default" w:ascii="Times New Roman" w:hAnsi="Times New Roman" w:eastAsia="仿宋_GB2312" w:cs="Times New Roman"/>
          <w:b w:val="0"/>
          <w:bCs w:val="0"/>
          <w:snapToGrid w:val="0"/>
          <w:color w:val="auto"/>
          <w:spacing w:val="-2"/>
          <w:kern w:val="0"/>
          <w:sz w:val="32"/>
          <w:szCs w:val="32"/>
          <w:u w:val="none"/>
        </w:rPr>
        <w:t>%</w:t>
      </w:r>
      <w:r>
        <w:rPr>
          <w:rFonts w:hint="eastAsia" w:ascii="Times New Roman" w:hAnsi="Times New Roman" w:eastAsia="仿宋_GB2312" w:cs="Times New Roman"/>
          <w:b w:val="0"/>
          <w:bCs w:val="0"/>
          <w:snapToGrid w:val="0"/>
          <w:color w:val="auto"/>
          <w:spacing w:val="-2"/>
          <w:kern w:val="0"/>
          <w:sz w:val="32"/>
          <w:szCs w:val="32"/>
          <w:u w:val="none"/>
          <w:lang w:eastAsia="zh-CN"/>
        </w:rPr>
        <w:t>。货物采购授予中小企业合同金额占货物支出金额的</w:t>
      </w:r>
      <w:r>
        <w:rPr>
          <w:rFonts w:hint="eastAsia" w:ascii="Times New Roman" w:hAnsi="Times New Roman" w:eastAsia="仿宋_GB2312" w:cs="Times New Roman"/>
          <w:b w:val="0"/>
          <w:bCs w:val="0"/>
          <w:snapToGrid w:val="0"/>
          <w:color w:val="auto"/>
          <w:spacing w:val="-2"/>
          <w:kern w:val="0"/>
          <w:sz w:val="32"/>
          <w:szCs w:val="32"/>
          <w:u w:val="none"/>
          <w:lang w:val="en-US" w:eastAsia="zh-CN"/>
        </w:rPr>
        <w:t>100</w:t>
      </w:r>
      <w:r>
        <w:rPr>
          <w:rFonts w:hint="default" w:ascii="Times New Roman" w:hAnsi="Times New Roman" w:eastAsia="仿宋_GB2312" w:cs="Times New Roman"/>
          <w:b w:val="0"/>
          <w:bCs w:val="0"/>
          <w:snapToGrid w:val="0"/>
          <w:color w:val="auto"/>
          <w:spacing w:val="-2"/>
          <w:kern w:val="0"/>
          <w:sz w:val="32"/>
          <w:szCs w:val="32"/>
          <w:u w:val="none"/>
        </w:rPr>
        <w:t>%</w:t>
      </w:r>
      <w:r>
        <w:rPr>
          <w:rFonts w:hint="eastAsia" w:ascii="Times New Roman" w:hAnsi="Times New Roman" w:eastAsia="仿宋_GB2312" w:cs="Times New Roman"/>
          <w:b w:val="0"/>
          <w:bCs w:val="0"/>
          <w:snapToGrid w:val="0"/>
          <w:color w:val="auto"/>
          <w:spacing w:val="-2"/>
          <w:kern w:val="0"/>
          <w:sz w:val="32"/>
          <w:szCs w:val="32"/>
          <w:u w:val="none"/>
          <w:lang w:eastAsia="zh-CN"/>
        </w:rPr>
        <w:t>，服务采购授予中小企业合同金额占服务支出金额的</w:t>
      </w:r>
      <w:r>
        <w:rPr>
          <w:rFonts w:hint="eastAsia" w:ascii="Times New Roman" w:hAnsi="Times New Roman" w:eastAsia="仿宋_GB2312" w:cs="Times New Roman"/>
          <w:b w:val="0"/>
          <w:bCs w:val="0"/>
          <w:snapToGrid w:val="0"/>
          <w:color w:val="auto"/>
          <w:spacing w:val="-2"/>
          <w:kern w:val="0"/>
          <w:sz w:val="32"/>
          <w:szCs w:val="32"/>
          <w:u w:val="none"/>
          <w:lang w:val="en-US" w:eastAsia="zh-CN"/>
        </w:rPr>
        <w:t>98</w:t>
      </w:r>
      <w:r>
        <w:rPr>
          <w:rFonts w:hint="default" w:ascii="Times New Roman" w:hAnsi="Times New Roman" w:eastAsia="仿宋_GB2312" w:cs="Times New Roman"/>
          <w:b w:val="0"/>
          <w:bCs w:val="0"/>
          <w:snapToGrid w:val="0"/>
          <w:color w:val="auto"/>
          <w:spacing w:val="-2"/>
          <w:kern w:val="0"/>
          <w:sz w:val="32"/>
          <w:szCs w:val="32"/>
          <w:u w:val="none"/>
        </w:rPr>
        <w:t>%</w:t>
      </w:r>
      <w:r>
        <w:rPr>
          <w:rFonts w:hint="eastAsia" w:ascii="Times New Roman" w:hAnsi="Times New Roman" w:eastAsia="仿宋_GB2312" w:cs="Times New Roman"/>
          <w:b w:val="0"/>
          <w:bCs w:val="0"/>
          <w:snapToGrid w:val="0"/>
          <w:color w:val="auto"/>
          <w:spacing w:val="-2"/>
          <w:kern w:val="0"/>
          <w:sz w:val="32"/>
          <w:szCs w:val="32"/>
          <w:u w:val="none"/>
          <w:lang w:eastAsia="zh-CN"/>
        </w:rPr>
        <w:t>。</w:t>
      </w:r>
      <w:bookmarkStart w:id="194" w:name="_Toc66"/>
      <w:bookmarkStart w:id="195" w:name="_Toc20886"/>
    </w:p>
    <w:bookmarkEnd w:id="194"/>
    <w:bookmarkEnd w:id="195"/>
    <w:p>
      <w:pPr>
        <w:pStyle w:val="6"/>
        <w:pageBreakBefore w:val="0"/>
        <w:widowControl w:val="0"/>
        <w:kinsoku/>
        <w:wordWrap/>
        <w:overflowPunct/>
        <w:topLinePunct w:val="0"/>
        <w:bidi w:val="0"/>
        <w:adjustRightInd w:val="0"/>
        <w:snapToGrid w:val="0"/>
        <w:ind w:left="0" w:firstLine="640" w:firstLineChars="200"/>
        <w:jc w:val="both"/>
        <w:textAlignment w:val="auto"/>
        <w:rPr>
          <w:rFonts w:hint="default" w:ascii="Times New Roman" w:hAnsi="Times New Roman" w:eastAsia="楷体_GB2312" w:cs="Times New Roman"/>
          <w:b w:val="0"/>
          <w:bCs w:val="0"/>
          <w:color w:val="000000" w:themeColor="text1"/>
          <w:u w:val="none"/>
        </w:rPr>
      </w:pPr>
      <w:bookmarkStart w:id="196" w:name="_Toc23834"/>
      <w:r>
        <w:rPr>
          <w:rFonts w:hint="default" w:ascii="Times New Roman" w:hAnsi="Times New Roman" w:eastAsia="楷体_GB2312" w:cs="Times New Roman"/>
          <w:b w:val="0"/>
          <w:bCs w:val="0"/>
          <w:color w:val="000000" w:themeColor="text1"/>
          <w:u w:val="none"/>
        </w:rPr>
        <w:t>（</w:t>
      </w:r>
      <w:r>
        <w:rPr>
          <w:rFonts w:hint="eastAsia" w:eastAsia="楷体_GB2312" w:cs="Times New Roman"/>
          <w:b w:val="0"/>
          <w:bCs w:val="0"/>
          <w:color w:val="000000" w:themeColor="text1"/>
          <w:u w:val="none"/>
          <w:lang w:eastAsia="zh-CN"/>
        </w:rPr>
        <w:t>三</w:t>
      </w:r>
      <w:r>
        <w:rPr>
          <w:rFonts w:hint="default" w:ascii="Times New Roman" w:hAnsi="Times New Roman" w:eastAsia="楷体_GB2312" w:cs="Times New Roman"/>
          <w:b w:val="0"/>
          <w:bCs w:val="0"/>
          <w:color w:val="000000" w:themeColor="text1"/>
          <w:u w:val="none"/>
        </w:rPr>
        <w:t>）</w:t>
      </w:r>
      <w:r>
        <w:rPr>
          <w:rFonts w:hint="eastAsia" w:eastAsia="楷体_GB2312" w:cs="Times New Roman"/>
          <w:b w:val="0"/>
          <w:bCs w:val="0"/>
          <w:color w:val="000000" w:themeColor="text1"/>
          <w:u w:val="none"/>
          <w:lang w:eastAsia="zh-CN"/>
        </w:rPr>
        <w:t>国有资产占用情况</w:t>
      </w:r>
      <w:r>
        <w:rPr>
          <w:rFonts w:hint="default" w:ascii="Times New Roman" w:hAnsi="Times New Roman" w:eastAsia="楷体_GB2312" w:cs="Times New Roman"/>
          <w:b w:val="0"/>
          <w:bCs w:val="0"/>
          <w:color w:val="000000" w:themeColor="text1"/>
          <w:u w:val="none"/>
        </w:rPr>
        <w:t>。</w:t>
      </w:r>
      <w:bookmarkEnd w:id="19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themeColor="text1"/>
          <w:sz w:val="32"/>
          <w:szCs w:val="32"/>
          <w:u w:val="none"/>
        </w:rPr>
      </w:pPr>
      <w:r>
        <w:rPr>
          <w:rFonts w:hint="default" w:ascii="Times New Roman" w:hAnsi="Times New Roman" w:eastAsia="仿宋_GB2312" w:cs="Times New Roman"/>
          <w:b w:val="0"/>
          <w:bCs w:val="0"/>
          <w:color w:val="000000" w:themeColor="text1"/>
          <w:sz w:val="32"/>
          <w:szCs w:val="32"/>
          <w:u w:val="none"/>
        </w:rPr>
        <w:t>截至202</w:t>
      </w:r>
      <w:r>
        <w:rPr>
          <w:rFonts w:hint="eastAsia" w:ascii="Times New Roman" w:hAnsi="Times New Roman" w:eastAsia="仿宋_GB2312" w:cs="Times New Roman"/>
          <w:b w:val="0"/>
          <w:bCs w:val="0"/>
          <w:color w:val="000000" w:themeColor="text1"/>
          <w:sz w:val="32"/>
          <w:szCs w:val="32"/>
          <w:u w:val="none"/>
          <w:lang w:val="en-US" w:eastAsia="zh-CN"/>
        </w:rPr>
        <w:t>2</w:t>
      </w:r>
      <w:r>
        <w:rPr>
          <w:rFonts w:hint="default" w:ascii="Times New Roman" w:hAnsi="Times New Roman" w:eastAsia="仿宋_GB2312" w:cs="Times New Roman"/>
          <w:b w:val="0"/>
          <w:bCs w:val="0"/>
          <w:color w:val="000000" w:themeColor="text1"/>
          <w:sz w:val="32"/>
          <w:szCs w:val="32"/>
          <w:u w:val="none"/>
        </w:rPr>
        <w:t>年12月31日，</w:t>
      </w:r>
      <w:r>
        <w:rPr>
          <w:rFonts w:hint="default" w:ascii="Times New Roman" w:hAnsi="Times New Roman" w:eastAsia="仿宋_GB2312" w:cs="Times New Roman"/>
          <w:b w:val="0"/>
          <w:bCs w:val="0"/>
          <w:color w:val="000000" w:themeColor="text1"/>
          <w:sz w:val="32"/>
          <w:szCs w:val="32"/>
          <w:u w:val="none"/>
          <w:lang w:eastAsia="zh-CN"/>
        </w:rPr>
        <w:t>本单位</w:t>
      </w:r>
      <w:r>
        <w:rPr>
          <w:rFonts w:hint="default" w:ascii="Times New Roman" w:hAnsi="Times New Roman" w:eastAsia="仿宋_GB2312" w:cs="Times New Roman"/>
          <w:b w:val="0"/>
          <w:bCs w:val="0"/>
          <w:color w:val="000000" w:themeColor="text1"/>
          <w:sz w:val="32"/>
          <w:szCs w:val="32"/>
          <w:u w:val="none"/>
        </w:rPr>
        <w:t>共有车辆</w:t>
      </w:r>
      <w:r>
        <w:rPr>
          <w:rFonts w:hint="eastAsia" w:ascii="Times New Roman" w:hAnsi="Times New Roman" w:eastAsia="仿宋_GB2312" w:cs="Times New Roman"/>
          <w:b w:val="0"/>
          <w:bCs w:val="0"/>
          <w:color w:val="000000" w:themeColor="text1"/>
          <w:sz w:val="32"/>
          <w:szCs w:val="32"/>
          <w:u w:val="none"/>
          <w:lang w:val="en-US" w:eastAsia="zh-CN"/>
        </w:rPr>
        <w:t>2</w:t>
      </w:r>
      <w:r>
        <w:rPr>
          <w:rFonts w:hint="default" w:ascii="Times New Roman" w:hAnsi="Times New Roman" w:eastAsia="仿宋_GB2312" w:cs="Times New Roman"/>
          <w:b w:val="0"/>
          <w:bCs w:val="0"/>
          <w:color w:val="000000" w:themeColor="text1"/>
          <w:sz w:val="32"/>
          <w:szCs w:val="32"/>
          <w:u w:val="none"/>
        </w:rPr>
        <w:t>辆，其中机要通信用车</w:t>
      </w:r>
      <w:r>
        <w:rPr>
          <w:rFonts w:hint="eastAsia" w:ascii="Times New Roman" w:hAnsi="Times New Roman" w:eastAsia="仿宋_GB2312" w:cs="Times New Roman"/>
          <w:b w:val="0"/>
          <w:bCs w:val="0"/>
          <w:color w:val="000000" w:themeColor="text1"/>
          <w:sz w:val="32"/>
          <w:szCs w:val="32"/>
          <w:u w:val="none"/>
          <w:lang w:val="en-US" w:eastAsia="zh-CN"/>
        </w:rPr>
        <w:t>1</w:t>
      </w:r>
      <w:r>
        <w:rPr>
          <w:rFonts w:hint="default" w:ascii="Times New Roman" w:hAnsi="Times New Roman" w:eastAsia="仿宋_GB2312" w:cs="Times New Roman"/>
          <w:b w:val="0"/>
          <w:bCs w:val="0"/>
          <w:color w:val="000000" w:themeColor="text1"/>
          <w:sz w:val="32"/>
          <w:szCs w:val="32"/>
          <w:u w:val="none"/>
        </w:rPr>
        <w:t>辆、其他用车</w:t>
      </w:r>
      <w:r>
        <w:rPr>
          <w:rFonts w:hint="eastAsia" w:ascii="Times New Roman" w:hAnsi="Times New Roman" w:eastAsia="仿宋_GB2312" w:cs="Times New Roman"/>
          <w:b w:val="0"/>
          <w:bCs w:val="0"/>
          <w:color w:val="000000" w:themeColor="text1"/>
          <w:sz w:val="32"/>
          <w:szCs w:val="32"/>
          <w:u w:val="none"/>
          <w:lang w:val="en-US" w:eastAsia="zh-CN"/>
        </w:rPr>
        <w:t>1</w:t>
      </w:r>
      <w:r>
        <w:rPr>
          <w:rFonts w:hint="default" w:ascii="Times New Roman" w:hAnsi="Times New Roman" w:eastAsia="仿宋_GB2312" w:cs="Times New Roman"/>
          <w:b w:val="0"/>
          <w:bCs w:val="0"/>
          <w:color w:val="000000" w:themeColor="text1"/>
          <w:sz w:val="32"/>
          <w:szCs w:val="32"/>
          <w:u w:val="none"/>
        </w:rPr>
        <w:t>辆，</w:t>
      </w:r>
      <w:r>
        <w:rPr>
          <w:rFonts w:ascii="Times New Roman" w:hAnsi="Times New Roman" w:eastAsia="仿宋_GB2312"/>
          <w:color w:val="000000" w:themeColor="text1"/>
          <w:sz w:val="32"/>
          <w:szCs w:val="32"/>
        </w:rPr>
        <w:t>其他用车主要</w:t>
      </w:r>
      <w:r>
        <w:rPr>
          <w:rFonts w:hint="eastAsia" w:ascii="Times New Roman" w:hAnsi="Times New Roman" w:eastAsia="仿宋_GB2312"/>
          <w:color w:val="000000" w:themeColor="text1"/>
          <w:sz w:val="32"/>
          <w:szCs w:val="32"/>
        </w:rPr>
        <w:t>用于</w:t>
      </w:r>
      <w:r>
        <w:rPr>
          <w:rFonts w:hint="eastAsia" w:ascii="Times New Roman" w:hAnsi="Times New Roman" w:eastAsia="仿宋_GB2312"/>
          <w:color w:val="000000" w:themeColor="text1"/>
          <w:sz w:val="32"/>
          <w:szCs w:val="32"/>
          <w:lang w:eastAsia="zh-CN"/>
        </w:rPr>
        <w:t>业务活动开展</w:t>
      </w:r>
      <w:r>
        <w:rPr>
          <w:rFonts w:hint="default" w:ascii="Times New Roman" w:hAnsi="Times New Roman" w:eastAsia="仿宋_GB2312" w:cs="Times New Roman"/>
          <w:b w:val="0"/>
          <w:bCs w:val="0"/>
          <w:color w:val="000000" w:themeColor="text1"/>
          <w:sz w:val="32"/>
          <w:szCs w:val="32"/>
          <w:u w:val="none"/>
        </w:rPr>
        <w:t>。</w:t>
      </w:r>
    </w:p>
    <w:p>
      <w:pPr>
        <w:pStyle w:val="4"/>
        <w:pageBreakBefore w:val="0"/>
        <w:widowControl w:val="0"/>
        <w:kinsoku/>
        <w:wordWrap/>
        <w:overflowPunct/>
        <w:topLinePunct w:val="0"/>
        <w:bidi w:val="0"/>
        <w:adjustRightInd w:val="0"/>
        <w:snapToGrid w:val="0"/>
        <w:spacing w:afterLines="0"/>
        <w:ind w:left="0" w:firstLine="720" w:firstLineChars="200"/>
        <w:jc w:val="center"/>
        <w:textAlignment w:val="auto"/>
        <w:rPr>
          <w:rFonts w:hint="default" w:ascii="Times New Roman" w:hAnsi="Times New Roman" w:cs="Times New Roman"/>
          <w:b w:val="0"/>
          <w:bCs w:val="0"/>
          <w:color w:val="000000" w:themeColor="text1"/>
          <w:u w:val="none"/>
        </w:rPr>
      </w:pPr>
      <w:bookmarkStart w:id="197" w:name="_Toc17310"/>
      <w:bookmarkStart w:id="198" w:name="_Toc76129261"/>
      <w:bookmarkStart w:id="199" w:name="_Toc29786"/>
      <w:bookmarkStart w:id="200" w:name="_Toc15380"/>
      <w:bookmarkStart w:id="201" w:name="_Toc11140"/>
      <w:bookmarkStart w:id="202" w:name="_Toc12441"/>
      <w:bookmarkStart w:id="203" w:name="_Toc8603"/>
      <w:bookmarkStart w:id="204" w:name="_Toc30052"/>
      <w:bookmarkStart w:id="205" w:name="_Toc17069"/>
      <w:bookmarkStart w:id="206" w:name="_Toc13875"/>
      <w:bookmarkStart w:id="207" w:name="_Toc27979"/>
      <w:bookmarkStart w:id="208" w:name="_Toc15494"/>
      <w:bookmarkStart w:id="209" w:name="_Toc10166"/>
    </w:p>
    <w:p>
      <w:pPr>
        <w:pStyle w:val="4"/>
        <w:pageBreakBefore w:val="0"/>
        <w:widowControl w:val="0"/>
        <w:kinsoku/>
        <w:wordWrap/>
        <w:overflowPunct/>
        <w:topLinePunct w:val="0"/>
        <w:bidi w:val="0"/>
        <w:adjustRightInd w:val="0"/>
        <w:snapToGrid w:val="0"/>
        <w:spacing w:afterLines="0"/>
        <w:ind w:left="0" w:firstLine="720" w:firstLineChars="200"/>
        <w:jc w:val="center"/>
        <w:textAlignment w:val="auto"/>
        <w:rPr>
          <w:rFonts w:hint="default" w:ascii="Times New Roman" w:hAnsi="Times New Roman" w:cs="Times New Roman"/>
          <w:b w:val="0"/>
          <w:bCs w:val="0"/>
          <w:color w:val="000000" w:themeColor="text1"/>
          <w:u w:val="none"/>
        </w:rPr>
      </w:pPr>
    </w:p>
    <w:p>
      <w:pPr>
        <w:pStyle w:val="4"/>
        <w:pageBreakBefore w:val="0"/>
        <w:widowControl w:val="0"/>
        <w:kinsoku/>
        <w:wordWrap/>
        <w:overflowPunct/>
        <w:topLinePunct w:val="0"/>
        <w:bidi w:val="0"/>
        <w:adjustRightInd w:val="0"/>
        <w:snapToGrid w:val="0"/>
        <w:spacing w:afterLines="0"/>
        <w:ind w:left="0" w:firstLine="720" w:firstLineChars="200"/>
        <w:jc w:val="center"/>
        <w:textAlignment w:val="auto"/>
        <w:rPr>
          <w:rFonts w:hint="default" w:ascii="Times New Roman" w:hAnsi="Times New Roman" w:cs="Times New Roman"/>
          <w:b w:val="0"/>
          <w:bCs w:val="0"/>
          <w:color w:val="000000" w:themeColor="text1"/>
          <w:u w:val="none"/>
        </w:rPr>
      </w:pPr>
      <w:r>
        <w:rPr>
          <w:rFonts w:hint="default" w:ascii="Times New Roman" w:hAnsi="Times New Roman" w:cs="Times New Roman"/>
          <w:b w:val="0"/>
          <w:bCs w:val="0"/>
          <w:color w:val="000000" w:themeColor="text1"/>
          <w:u w:val="none"/>
        </w:rPr>
        <w:t>第四部分 名词解释</w:t>
      </w:r>
      <w:bookmarkEnd w:id="197"/>
      <w:bookmarkEnd w:id="198"/>
      <w:bookmarkEnd w:id="199"/>
      <w:bookmarkEnd w:id="200"/>
      <w:bookmarkEnd w:id="201"/>
      <w:bookmarkEnd w:id="202"/>
      <w:bookmarkEnd w:id="203"/>
      <w:bookmarkEnd w:id="204"/>
      <w:bookmarkEnd w:id="205"/>
      <w:bookmarkEnd w:id="206"/>
      <w:bookmarkEnd w:id="207"/>
      <w:bookmarkEnd w:id="208"/>
      <w:bookmarkEnd w:id="209"/>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rPr>
        <w:t>（一）财政拨款收入</w:t>
      </w:r>
      <w:r>
        <w:rPr>
          <w:rFonts w:ascii="Times New Roman" w:hAnsi="Times New Roman" w:eastAsia="仿宋_GB2312"/>
          <w:color w:val="000000" w:themeColor="text1"/>
          <w:sz w:val="32"/>
          <w:szCs w:val="32"/>
        </w:rPr>
        <w:t>：指单位从同级财政部门取得的财政预算资金。</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rPr>
        <w:t>（</w:t>
      </w:r>
      <w:r>
        <w:rPr>
          <w:rFonts w:hint="eastAsia" w:ascii="Times New Roman" w:hAnsi="Times New Roman" w:eastAsia="仿宋_GB2312"/>
          <w:b/>
          <w:bCs/>
          <w:color w:val="000000" w:themeColor="text1"/>
          <w:sz w:val="32"/>
          <w:szCs w:val="32"/>
        </w:rPr>
        <w:t>二</w:t>
      </w:r>
      <w:r>
        <w:rPr>
          <w:rFonts w:ascii="Times New Roman" w:hAnsi="Times New Roman" w:eastAsia="仿宋_GB2312"/>
          <w:b/>
          <w:bCs/>
          <w:color w:val="000000" w:themeColor="text1"/>
          <w:sz w:val="32"/>
          <w:szCs w:val="32"/>
        </w:rPr>
        <w:t>）其他收入：</w:t>
      </w:r>
      <w:r>
        <w:rPr>
          <w:rFonts w:ascii="Times New Roman" w:hAnsi="Times New Roman" w:eastAsia="仿宋_GB2312"/>
          <w:color w:val="000000" w:themeColor="text1"/>
          <w:sz w:val="32"/>
          <w:szCs w:val="32"/>
        </w:rPr>
        <w:t>指单位取得的除上述财政拨款收入、事业收入、经营收入、附属单位上缴收入等以外的收入。如：从其他部门获得的横向经费</w:t>
      </w:r>
      <w:r>
        <w:rPr>
          <w:rFonts w:hint="eastAsia" w:ascii="Times New Roman" w:hAnsi="Times New Roman" w:eastAsia="仿宋_GB2312"/>
          <w:color w:val="000000" w:themeColor="text1"/>
          <w:sz w:val="32"/>
          <w:szCs w:val="32"/>
        </w:rPr>
        <w:t>、租金收入</w:t>
      </w:r>
      <w:r>
        <w:rPr>
          <w:rFonts w:ascii="Times New Roman" w:hAnsi="Times New Roman" w:eastAsia="仿宋_GB2312"/>
          <w:color w:val="000000" w:themeColor="text1"/>
          <w:sz w:val="32"/>
          <w:szCs w:val="32"/>
        </w:rPr>
        <w:t>等。</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rPr>
        <w:t>（</w:t>
      </w:r>
      <w:r>
        <w:rPr>
          <w:rFonts w:hint="eastAsia" w:ascii="Times New Roman" w:hAnsi="Times New Roman" w:eastAsia="仿宋_GB2312"/>
          <w:b/>
          <w:bCs/>
          <w:color w:val="000000" w:themeColor="text1"/>
          <w:sz w:val="32"/>
          <w:szCs w:val="32"/>
        </w:rPr>
        <w:t>三</w:t>
      </w:r>
      <w:r>
        <w:rPr>
          <w:rFonts w:ascii="Times New Roman" w:hAnsi="Times New Roman" w:eastAsia="仿宋_GB2312"/>
          <w:b/>
          <w:bCs/>
          <w:color w:val="000000" w:themeColor="text1"/>
          <w:sz w:val="32"/>
          <w:szCs w:val="32"/>
        </w:rPr>
        <w:t>）年初结转和结余：</w:t>
      </w:r>
      <w:r>
        <w:rPr>
          <w:rFonts w:ascii="Times New Roman" w:hAnsi="Times New Roman" w:eastAsia="仿宋_GB2312"/>
          <w:color w:val="000000" w:themeColor="text1"/>
          <w:sz w:val="32"/>
          <w:szCs w:val="32"/>
        </w:rPr>
        <w:t>指单位以前年度预算安排、因客观条件发生变化未全部执行或未执行，结转到本年度继续使用的资金，或项目已完成等产生的结余资金。</w:t>
      </w:r>
    </w:p>
    <w:p>
      <w:pPr>
        <w:adjustRightInd w:val="0"/>
        <w:snapToGrid w:val="0"/>
        <w:spacing w:line="360" w:lineRule="auto"/>
        <w:ind w:firstLine="643" w:firstLineChars="200"/>
        <w:rPr>
          <w:rFonts w:ascii="Times New Roman" w:hAnsi="Times New Roman" w:eastAsia="仿宋_GB2312"/>
          <w:color w:val="000000" w:themeColor="text1"/>
          <w:sz w:val="32"/>
          <w:szCs w:val="32"/>
        </w:rPr>
      </w:pPr>
      <w:r>
        <w:rPr>
          <w:rFonts w:ascii="Times New Roman" w:hAnsi="Times New Roman" w:eastAsia="仿宋_GB2312"/>
          <w:b/>
          <w:bCs/>
          <w:color w:val="000000" w:themeColor="text1"/>
          <w:sz w:val="32"/>
          <w:szCs w:val="32"/>
        </w:rPr>
        <w:t>（</w:t>
      </w:r>
      <w:r>
        <w:rPr>
          <w:rFonts w:hint="eastAsia" w:ascii="Times New Roman" w:hAnsi="Times New Roman" w:eastAsia="仿宋_GB2312"/>
          <w:b/>
          <w:bCs/>
          <w:color w:val="000000" w:themeColor="text1"/>
          <w:sz w:val="32"/>
          <w:szCs w:val="32"/>
        </w:rPr>
        <w:t>四</w:t>
      </w:r>
      <w:r>
        <w:rPr>
          <w:rFonts w:ascii="Times New Roman" w:hAnsi="Times New Roman" w:eastAsia="仿宋_GB2312"/>
          <w:b/>
          <w:bCs/>
          <w:color w:val="000000" w:themeColor="text1"/>
          <w:sz w:val="32"/>
          <w:szCs w:val="32"/>
        </w:rPr>
        <w:t>）年末结转和结余：</w:t>
      </w:r>
      <w:r>
        <w:rPr>
          <w:rFonts w:ascii="Times New Roman" w:hAnsi="Times New Roman" w:eastAsia="仿宋_GB2312"/>
          <w:color w:val="000000" w:themeColor="text1"/>
          <w:sz w:val="32"/>
          <w:szCs w:val="32"/>
        </w:rPr>
        <w:t>指单位本年度或以前年度预算安排、因客观条件发生变化未全部执行或未执行，结转到以后年度继续使用的资金，或项目已完成等产生的结余资金。</w:t>
      </w:r>
    </w:p>
    <w:p>
      <w:pPr>
        <w:adjustRightInd w:val="0"/>
        <w:snapToGrid w:val="0"/>
        <w:spacing w:line="360" w:lineRule="auto"/>
        <w:ind w:firstLine="643" w:firstLineChars="200"/>
        <w:rPr>
          <w:rFonts w:ascii="Times New Roman" w:hAnsi="Times New Roman" w:eastAsia="楷体_GB2312"/>
          <w:color w:val="000000" w:themeColor="text1"/>
          <w:sz w:val="32"/>
          <w:szCs w:val="32"/>
        </w:rPr>
      </w:pPr>
      <w:r>
        <w:rPr>
          <w:rFonts w:ascii="Times New Roman" w:hAnsi="Times New Roman" w:eastAsia="仿宋_GB2312"/>
          <w:b/>
          <w:bCs/>
          <w:color w:val="000000" w:themeColor="text1"/>
          <w:sz w:val="32"/>
          <w:szCs w:val="32"/>
        </w:rPr>
        <w:t>（</w:t>
      </w:r>
      <w:r>
        <w:rPr>
          <w:rFonts w:hint="eastAsia" w:ascii="Times New Roman" w:hAnsi="Times New Roman" w:eastAsia="仿宋_GB2312"/>
          <w:b/>
          <w:bCs/>
          <w:color w:val="000000" w:themeColor="text1"/>
          <w:sz w:val="32"/>
          <w:szCs w:val="32"/>
        </w:rPr>
        <w:t>五</w:t>
      </w:r>
      <w:r>
        <w:rPr>
          <w:rFonts w:ascii="Times New Roman" w:hAnsi="Times New Roman" w:eastAsia="仿宋_GB2312"/>
          <w:b/>
          <w:bCs/>
          <w:color w:val="000000" w:themeColor="text1"/>
          <w:sz w:val="32"/>
          <w:szCs w:val="32"/>
        </w:rPr>
        <w:t>）结余分配：</w:t>
      </w:r>
      <w:r>
        <w:rPr>
          <w:rFonts w:ascii="Times New Roman" w:hAnsi="Times New Roman" w:eastAsia="仿宋_GB2312"/>
          <w:color w:val="000000" w:themeColor="text1"/>
          <w:sz w:val="32"/>
          <w:szCs w:val="32"/>
        </w:rPr>
        <w:t>指事业单位按照会计制度规定缴纳的所得税、提取的专用结余以及转入非财政拨款结余的金额等</w:t>
      </w:r>
      <w:r>
        <w:rPr>
          <w:rFonts w:ascii="Times New Roman" w:hAnsi="Times New Roman" w:eastAsia="楷体_GB2312"/>
          <w:color w:val="000000" w:themeColor="text1"/>
          <w:sz w:val="32"/>
          <w:szCs w:val="32"/>
        </w:rPr>
        <w:t>。</w:t>
      </w:r>
    </w:p>
    <w:p>
      <w:pPr>
        <w:autoSpaceDE w:val="0"/>
        <w:autoSpaceDN w:val="0"/>
        <w:adjustRightInd w:val="0"/>
        <w:snapToGrid w:val="0"/>
        <w:spacing w:line="360" w:lineRule="auto"/>
        <w:ind w:firstLine="643" w:firstLineChars="200"/>
        <w:rPr>
          <w:rFonts w:ascii="Times New Roman" w:hAnsi="Times New Roman" w:eastAsia="仿宋_GB2312"/>
          <w:color w:val="000000" w:themeColor="text1"/>
          <w:kern w:val="0"/>
          <w:sz w:val="32"/>
          <w:szCs w:val="32"/>
        </w:rPr>
      </w:pPr>
      <w:r>
        <w:rPr>
          <w:rFonts w:ascii="Times New Roman" w:hAnsi="Times New Roman" w:eastAsia="仿宋_GB2312"/>
          <w:b/>
          <w:bCs/>
          <w:color w:val="000000" w:themeColor="text1"/>
          <w:sz w:val="32"/>
          <w:szCs w:val="32"/>
        </w:rPr>
        <w:t>（</w:t>
      </w:r>
      <w:r>
        <w:rPr>
          <w:rFonts w:hint="eastAsia" w:ascii="Times New Roman" w:hAnsi="Times New Roman" w:eastAsia="仿宋_GB2312"/>
          <w:b/>
          <w:bCs/>
          <w:color w:val="000000" w:themeColor="text1"/>
          <w:sz w:val="32"/>
          <w:szCs w:val="32"/>
        </w:rPr>
        <w:t>六</w:t>
      </w:r>
      <w:r>
        <w:rPr>
          <w:rFonts w:ascii="Times New Roman" w:hAnsi="Times New Roman" w:eastAsia="仿宋_GB2312"/>
          <w:b/>
          <w:bCs/>
          <w:color w:val="000000" w:themeColor="text1"/>
          <w:sz w:val="32"/>
          <w:szCs w:val="32"/>
        </w:rPr>
        <w:t>）卫生健康支出（类）计划生育事务（款）计划生育服务（项）：</w:t>
      </w:r>
      <w:r>
        <w:rPr>
          <w:rFonts w:ascii="Times New Roman" w:hAnsi="Times New Roman" w:eastAsia="仿宋_GB2312"/>
          <w:color w:val="000000" w:themeColor="text1"/>
          <w:spacing w:val="-6"/>
          <w:kern w:val="0"/>
          <w:sz w:val="32"/>
          <w:szCs w:val="32"/>
        </w:rPr>
        <w:t>指单位用于计划生育服务的支出。</w:t>
      </w:r>
    </w:p>
    <w:p>
      <w:pPr>
        <w:autoSpaceDE w:val="0"/>
        <w:autoSpaceDN w:val="0"/>
        <w:adjustRightInd w:val="0"/>
        <w:snapToGrid w:val="0"/>
        <w:spacing w:line="360" w:lineRule="auto"/>
        <w:ind w:firstLine="643" w:firstLineChars="200"/>
        <w:rPr>
          <w:rFonts w:ascii="Times New Roman" w:hAnsi="Times New Roman" w:eastAsia="仿宋_GB2312"/>
          <w:color w:val="000000" w:themeColor="text1"/>
          <w:kern w:val="0"/>
          <w:sz w:val="32"/>
          <w:szCs w:val="32"/>
        </w:rPr>
      </w:pPr>
      <w:r>
        <w:rPr>
          <w:rFonts w:ascii="Times New Roman" w:hAnsi="Times New Roman" w:eastAsia="仿宋_GB2312"/>
          <w:b/>
          <w:bCs/>
          <w:color w:val="000000" w:themeColor="text1"/>
          <w:sz w:val="32"/>
          <w:szCs w:val="32"/>
        </w:rPr>
        <w:t>（七）基本支出：</w:t>
      </w:r>
      <w:r>
        <w:rPr>
          <w:rFonts w:ascii="Times New Roman" w:hAnsi="Times New Roman" w:eastAsia="仿宋_GB2312"/>
          <w:color w:val="000000" w:themeColor="text1"/>
          <w:kern w:val="0"/>
          <w:sz w:val="32"/>
          <w:szCs w:val="32"/>
        </w:rPr>
        <w:t>指为保障机构正常运转、完成日常工作任务而发生的人员支出和公用支出。</w:t>
      </w:r>
    </w:p>
    <w:p>
      <w:pPr>
        <w:autoSpaceDE w:val="0"/>
        <w:autoSpaceDN w:val="0"/>
        <w:adjustRightInd w:val="0"/>
        <w:snapToGrid w:val="0"/>
        <w:spacing w:line="360" w:lineRule="auto"/>
        <w:ind w:firstLine="643" w:firstLineChars="200"/>
        <w:rPr>
          <w:rFonts w:ascii="Times New Roman" w:hAnsi="Times New Roman" w:eastAsia="仿宋_GB2312"/>
          <w:color w:val="000000" w:themeColor="text1"/>
          <w:kern w:val="0"/>
          <w:sz w:val="32"/>
          <w:szCs w:val="32"/>
        </w:rPr>
      </w:pPr>
      <w:r>
        <w:rPr>
          <w:rFonts w:ascii="Times New Roman" w:hAnsi="Times New Roman" w:eastAsia="仿宋_GB2312"/>
          <w:b/>
          <w:bCs/>
          <w:color w:val="000000" w:themeColor="text1"/>
          <w:sz w:val="32"/>
          <w:szCs w:val="32"/>
        </w:rPr>
        <w:t>（八）项目支出：</w:t>
      </w:r>
      <w:r>
        <w:rPr>
          <w:rFonts w:ascii="Times New Roman" w:hAnsi="Times New Roman" w:eastAsia="仿宋_GB2312"/>
          <w:color w:val="000000" w:themeColor="text1"/>
          <w:kern w:val="0"/>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640" w:firstLineChars="200"/>
        <w:jc w:val="both"/>
        <w:textAlignment w:val="auto"/>
        <w:rPr>
          <w:rFonts w:hint="default" w:ascii="Times New Roman" w:hAnsi="Times New Roman" w:eastAsia="仿宋_GB2312" w:cs="Times New Roman"/>
          <w:b w:val="0"/>
          <w:bCs w:val="0"/>
          <w:color w:val="000000" w:themeColor="text1"/>
          <w:kern w:val="0"/>
          <w:sz w:val="32"/>
          <w:szCs w:val="32"/>
          <w:u w:val="none"/>
        </w:rPr>
      </w:pPr>
    </w:p>
    <w:sectPr>
      <w:headerReference r:id="rId7" w:type="default"/>
      <w:footerReference r:id="rId8" w:type="default"/>
      <w:pgSz w:w="11907" w:h="16840"/>
      <w:pgMar w:top="1440" w:right="1191" w:bottom="1440" w:left="1247" w:header="1020" w:footer="992"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both"/>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jc w:val="both"/>
      <w:rPr>
        <w:rFonts w:ascii="Times New Roman" w:hAnsi="Times New Roman"/>
      </w:rPr>
    </w:pPr>
    <w:r>
      <w:pict>
        <v:shape id="_x0000_s1033" o:spid="_x0000_s103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ind w:firstLine="640"/>
      <w:jc w:val="center"/>
      <w:rPr>
        <w:rFonts w:ascii="Times New Roman" w:hAnsi="Times New Roman"/>
      </w:rPr>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13"/>
                  <w:spacing w:before="120" w:after="120"/>
                  <w:ind w:firstLine="640"/>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ind w:firstLine="360"/>
      <w:jc w:val="center"/>
      <w:rPr>
        <w:rFonts w:ascii="Times New Roman" w:hAnsi="Times New Roman"/>
      </w:rP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3"/>
                  <w:spacing w:before="120" w:after="120"/>
                  <w:ind w:firstLine="360"/>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beforeLines="0" w:afterLines="0"/>
      <w:ind w:firstLine="640"/>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3E477"/>
    <w:multiLevelType w:val="singleLevel"/>
    <w:tmpl w:val="B083E477"/>
    <w:lvl w:ilvl="0" w:tentative="0">
      <w:start w:val="3"/>
      <w:numFmt w:val="chineseCounting"/>
      <w:suff w:val="space"/>
      <w:lvlText w:val="第%1部分"/>
      <w:lvlJc w:val="left"/>
      <w:rPr>
        <w:rFonts w:hint="eastAsia"/>
      </w:rPr>
    </w:lvl>
  </w:abstractNum>
  <w:abstractNum w:abstractNumId="1">
    <w:nsid w:val="0109CCB9"/>
    <w:multiLevelType w:val="singleLevel"/>
    <w:tmpl w:val="0109CCB9"/>
    <w:lvl w:ilvl="0" w:tentative="0">
      <w:start w:val="2"/>
      <w:numFmt w:val="chineseCounting"/>
      <w:suff w:val="nothing"/>
      <w:lvlText w:val="%1、"/>
      <w:lvlJc w:val="left"/>
      <w:rPr>
        <w:rFonts w:hint="eastAsia"/>
      </w:rPr>
    </w:lvl>
  </w:abstractNum>
  <w:abstractNum w:abstractNumId="2">
    <w:nsid w:val="5A7E4ED1"/>
    <w:multiLevelType w:val="multilevel"/>
    <w:tmpl w:val="5A7E4ED1"/>
    <w:lvl w:ilvl="0" w:tentative="0">
      <w:start w:val="1"/>
      <w:numFmt w:val="bullet"/>
      <w:pStyle w:val="10"/>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U1MmYyOWZhMTViNTlmNjU1NDYyYTA2OGM5ZTkzZDEifQ=="/>
  </w:docVars>
  <w:rsids>
    <w:rsidRoot w:val="008061A3"/>
    <w:rsid w:val="00001AA8"/>
    <w:rsid w:val="000022F4"/>
    <w:rsid w:val="00003ECC"/>
    <w:rsid w:val="00007B56"/>
    <w:rsid w:val="000106FF"/>
    <w:rsid w:val="00027849"/>
    <w:rsid w:val="000328A2"/>
    <w:rsid w:val="00037BB6"/>
    <w:rsid w:val="00040AA6"/>
    <w:rsid w:val="00043710"/>
    <w:rsid w:val="00046E21"/>
    <w:rsid w:val="0005512D"/>
    <w:rsid w:val="00060770"/>
    <w:rsid w:val="00061DBD"/>
    <w:rsid w:val="0006593C"/>
    <w:rsid w:val="00066266"/>
    <w:rsid w:val="000664A4"/>
    <w:rsid w:val="00072608"/>
    <w:rsid w:val="00072F12"/>
    <w:rsid w:val="000777A7"/>
    <w:rsid w:val="00080A6D"/>
    <w:rsid w:val="00082528"/>
    <w:rsid w:val="00085751"/>
    <w:rsid w:val="000A2226"/>
    <w:rsid w:val="000B028A"/>
    <w:rsid w:val="000B05ED"/>
    <w:rsid w:val="000B20A9"/>
    <w:rsid w:val="000B2BEE"/>
    <w:rsid w:val="000B3A57"/>
    <w:rsid w:val="000B6CE6"/>
    <w:rsid w:val="000B782A"/>
    <w:rsid w:val="000B782D"/>
    <w:rsid w:val="000C2D9B"/>
    <w:rsid w:val="000D178E"/>
    <w:rsid w:val="000D31E0"/>
    <w:rsid w:val="000D3CCB"/>
    <w:rsid w:val="000D3D00"/>
    <w:rsid w:val="000D6D79"/>
    <w:rsid w:val="000D7B96"/>
    <w:rsid w:val="000E1BFC"/>
    <w:rsid w:val="000F22B8"/>
    <w:rsid w:val="000F3514"/>
    <w:rsid w:val="000F4113"/>
    <w:rsid w:val="000F79E9"/>
    <w:rsid w:val="0010058F"/>
    <w:rsid w:val="0010095E"/>
    <w:rsid w:val="0010101D"/>
    <w:rsid w:val="00103505"/>
    <w:rsid w:val="00104C27"/>
    <w:rsid w:val="001056FF"/>
    <w:rsid w:val="00106C85"/>
    <w:rsid w:val="00107A8D"/>
    <w:rsid w:val="00116A50"/>
    <w:rsid w:val="0011740B"/>
    <w:rsid w:val="00120210"/>
    <w:rsid w:val="001208EA"/>
    <w:rsid w:val="0012164B"/>
    <w:rsid w:val="00122778"/>
    <w:rsid w:val="00122AB2"/>
    <w:rsid w:val="00123205"/>
    <w:rsid w:val="001232F7"/>
    <w:rsid w:val="001319FC"/>
    <w:rsid w:val="001349ED"/>
    <w:rsid w:val="0013619E"/>
    <w:rsid w:val="0013633C"/>
    <w:rsid w:val="00143EBB"/>
    <w:rsid w:val="00154580"/>
    <w:rsid w:val="00155AC5"/>
    <w:rsid w:val="00163FD5"/>
    <w:rsid w:val="001667A1"/>
    <w:rsid w:val="0017098C"/>
    <w:rsid w:val="00180FCF"/>
    <w:rsid w:val="001826D9"/>
    <w:rsid w:val="0018299D"/>
    <w:rsid w:val="00186CE0"/>
    <w:rsid w:val="00193EDC"/>
    <w:rsid w:val="00197BAE"/>
    <w:rsid w:val="001B35E0"/>
    <w:rsid w:val="001B3F64"/>
    <w:rsid w:val="001C05BF"/>
    <w:rsid w:val="001C2514"/>
    <w:rsid w:val="001C33A1"/>
    <w:rsid w:val="001C6C6C"/>
    <w:rsid w:val="001D0970"/>
    <w:rsid w:val="001E1305"/>
    <w:rsid w:val="001E2268"/>
    <w:rsid w:val="001E31D7"/>
    <w:rsid w:val="001E58F7"/>
    <w:rsid w:val="001F0835"/>
    <w:rsid w:val="001F3CDA"/>
    <w:rsid w:val="001F5D71"/>
    <w:rsid w:val="001F6DD3"/>
    <w:rsid w:val="0021361C"/>
    <w:rsid w:val="002146CA"/>
    <w:rsid w:val="002157BF"/>
    <w:rsid w:val="0021642A"/>
    <w:rsid w:val="00220C06"/>
    <w:rsid w:val="00223441"/>
    <w:rsid w:val="00223918"/>
    <w:rsid w:val="0022481D"/>
    <w:rsid w:val="00224938"/>
    <w:rsid w:val="00225CAA"/>
    <w:rsid w:val="002317A5"/>
    <w:rsid w:val="00232B46"/>
    <w:rsid w:val="002338E7"/>
    <w:rsid w:val="00237520"/>
    <w:rsid w:val="00237E69"/>
    <w:rsid w:val="00242E38"/>
    <w:rsid w:val="0024666E"/>
    <w:rsid w:val="00254639"/>
    <w:rsid w:val="00257C24"/>
    <w:rsid w:val="00262BA4"/>
    <w:rsid w:val="00271192"/>
    <w:rsid w:val="0027377B"/>
    <w:rsid w:val="00280883"/>
    <w:rsid w:val="00280AF2"/>
    <w:rsid w:val="00281BCE"/>
    <w:rsid w:val="0028460E"/>
    <w:rsid w:val="00285C4E"/>
    <w:rsid w:val="002910A2"/>
    <w:rsid w:val="00293152"/>
    <w:rsid w:val="002A0A0D"/>
    <w:rsid w:val="002A15A5"/>
    <w:rsid w:val="002A2B95"/>
    <w:rsid w:val="002A3175"/>
    <w:rsid w:val="002A3E16"/>
    <w:rsid w:val="002A5122"/>
    <w:rsid w:val="002A67BE"/>
    <w:rsid w:val="002B1D8B"/>
    <w:rsid w:val="002B319C"/>
    <w:rsid w:val="002B4583"/>
    <w:rsid w:val="002C237C"/>
    <w:rsid w:val="002C46A2"/>
    <w:rsid w:val="002D6F35"/>
    <w:rsid w:val="002F20E8"/>
    <w:rsid w:val="00303DCE"/>
    <w:rsid w:val="00320249"/>
    <w:rsid w:val="00320C2F"/>
    <w:rsid w:val="003228EC"/>
    <w:rsid w:val="00323E89"/>
    <w:rsid w:val="0033173F"/>
    <w:rsid w:val="003343FC"/>
    <w:rsid w:val="00335C40"/>
    <w:rsid w:val="00337B9D"/>
    <w:rsid w:val="0034253C"/>
    <w:rsid w:val="00344980"/>
    <w:rsid w:val="00356CCB"/>
    <w:rsid w:val="0036144C"/>
    <w:rsid w:val="0036281B"/>
    <w:rsid w:val="00371F92"/>
    <w:rsid w:val="003759EE"/>
    <w:rsid w:val="00376184"/>
    <w:rsid w:val="003766A4"/>
    <w:rsid w:val="00376DC3"/>
    <w:rsid w:val="00377465"/>
    <w:rsid w:val="00382EA8"/>
    <w:rsid w:val="00384AB6"/>
    <w:rsid w:val="00385894"/>
    <w:rsid w:val="00392F17"/>
    <w:rsid w:val="003A3269"/>
    <w:rsid w:val="003C1339"/>
    <w:rsid w:val="003D0EA8"/>
    <w:rsid w:val="003D2CA4"/>
    <w:rsid w:val="003D5EA2"/>
    <w:rsid w:val="003D742D"/>
    <w:rsid w:val="003E020D"/>
    <w:rsid w:val="003E1F7C"/>
    <w:rsid w:val="003E2421"/>
    <w:rsid w:val="003E3203"/>
    <w:rsid w:val="003E55BA"/>
    <w:rsid w:val="003E7962"/>
    <w:rsid w:val="003E7A02"/>
    <w:rsid w:val="003F28A8"/>
    <w:rsid w:val="003F5567"/>
    <w:rsid w:val="00403E74"/>
    <w:rsid w:val="0041108E"/>
    <w:rsid w:val="00412D0B"/>
    <w:rsid w:val="0041327C"/>
    <w:rsid w:val="004268FF"/>
    <w:rsid w:val="004307F0"/>
    <w:rsid w:val="004315C7"/>
    <w:rsid w:val="00432802"/>
    <w:rsid w:val="004407CA"/>
    <w:rsid w:val="00442D4A"/>
    <w:rsid w:val="00443295"/>
    <w:rsid w:val="00455C73"/>
    <w:rsid w:val="004563F6"/>
    <w:rsid w:val="004564A0"/>
    <w:rsid w:val="004608FC"/>
    <w:rsid w:val="004624D7"/>
    <w:rsid w:val="00470019"/>
    <w:rsid w:val="00470C6C"/>
    <w:rsid w:val="00476302"/>
    <w:rsid w:val="00477A99"/>
    <w:rsid w:val="00480B8F"/>
    <w:rsid w:val="00484547"/>
    <w:rsid w:val="004908BD"/>
    <w:rsid w:val="00497DDE"/>
    <w:rsid w:val="004A32A4"/>
    <w:rsid w:val="004A581D"/>
    <w:rsid w:val="004B2480"/>
    <w:rsid w:val="004B44BE"/>
    <w:rsid w:val="004B4ACB"/>
    <w:rsid w:val="004C37A2"/>
    <w:rsid w:val="004C5BDF"/>
    <w:rsid w:val="004C6FA5"/>
    <w:rsid w:val="004D2F7A"/>
    <w:rsid w:val="004E3F26"/>
    <w:rsid w:val="004E56AA"/>
    <w:rsid w:val="004F2BE7"/>
    <w:rsid w:val="004F44D1"/>
    <w:rsid w:val="004F4851"/>
    <w:rsid w:val="004F6F64"/>
    <w:rsid w:val="005051AE"/>
    <w:rsid w:val="00505603"/>
    <w:rsid w:val="00510D5E"/>
    <w:rsid w:val="00511628"/>
    <w:rsid w:val="00516E89"/>
    <w:rsid w:val="00520360"/>
    <w:rsid w:val="0052478D"/>
    <w:rsid w:val="005332FF"/>
    <w:rsid w:val="00533B7B"/>
    <w:rsid w:val="005366F1"/>
    <w:rsid w:val="00546CD5"/>
    <w:rsid w:val="00555C96"/>
    <w:rsid w:val="00555EFD"/>
    <w:rsid w:val="00556B56"/>
    <w:rsid w:val="0056251A"/>
    <w:rsid w:val="00565DE6"/>
    <w:rsid w:val="00571185"/>
    <w:rsid w:val="005712A8"/>
    <w:rsid w:val="0058486E"/>
    <w:rsid w:val="00591D05"/>
    <w:rsid w:val="00592C66"/>
    <w:rsid w:val="00595623"/>
    <w:rsid w:val="00595D63"/>
    <w:rsid w:val="005A0DFF"/>
    <w:rsid w:val="005A3672"/>
    <w:rsid w:val="005A7269"/>
    <w:rsid w:val="005B080A"/>
    <w:rsid w:val="005B102A"/>
    <w:rsid w:val="005B2724"/>
    <w:rsid w:val="005C185F"/>
    <w:rsid w:val="005C3A36"/>
    <w:rsid w:val="005D3523"/>
    <w:rsid w:val="005D3D3A"/>
    <w:rsid w:val="005D791D"/>
    <w:rsid w:val="005E2DF7"/>
    <w:rsid w:val="006039A6"/>
    <w:rsid w:val="0060577A"/>
    <w:rsid w:val="00613F86"/>
    <w:rsid w:val="00620A41"/>
    <w:rsid w:val="00640A11"/>
    <w:rsid w:val="006411AA"/>
    <w:rsid w:val="00644F1E"/>
    <w:rsid w:val="00646A49"/>
    <w:rsid w:val="0064773A"/>
    <w:rsid w:val="00647E59"/>
    <w:rsid w:val="00652A2E"/>
    <w:rsid w:val="006530D1"/>
    <w:rsid w:val="00655474"/>
    <w:rsid w:val="00655742"/>
    <w:rsid w:val="00655828"/>
    <w:rsid w:val="006614E9"/>
    <w:rsid w:val="00661C9A"/>
    <w:rsid w:val="00664631"/>
    <w:rsid w:val="00664F2C"/>
    <w:rsid w:val="00667F23"/>
    <w:rsid w:val="006707B2"/>
    <w:rsid w:val="00675062"/>
    <w:rsid w:val="00680C67"/>
    <w:rsid w:val="00681305"/>
    <w:rsid w:val="0068515B"/>
    <w:rsid w:val="00691669"/>
    <w:rsid w:val="006922C6"/>
    <w:rsid w:val="006930F3"/>
    <w:rsid w:val="00694473"/>
    <w:rsid w:val="006959EC"/>
    <w:rsid w:val="0069745B"/>
    <w:rsid w:val="006975AC"/>
    <w:rsid w:val="006A5FF3"/>
    <w:rsid w:val="006B7C54"/>
    <w:rsid w:val="006C1DF5"/>
    <w:rsid w:val="006D2259"/>
    <w:rsid w:val="006D2E59"/>
    <w:rsid w:val="006D2FE3"/>
    <w:rsid w:val="006D650C"/>
    <w:rsid w:val="006E0643"/>
    <w:rsid w:val="006E3DF1"/>
    <w:rsid w:val="006E5925"/>
    <w:rsid w:val="006E76ED"/>
    <w:rsid w:val="006F174F"/>
    <w:rsid w:val="00704059"/>
    <w:rsid w:val="00704214"/>
    <w:rsid w:val="00710ABB"/>
    <w:rsid w:val="007257EA"/>
    <w:rsid w:val="00726D1E"/>
    <w:rsid w:val="00735D51"/>
    <w:rsid w:val="00741222"/>
    <w:rsid w:val="007471F9"/>
    <w:rsid w:val="00747B3A"/>
    <w:rsid w:val="00747CB3"/>
    <w:rsid w:val="00750CD4"/>
    <w:rsid w:val="00751481"/>
    <w:rsid w:val="00752E59"/>
    <w:rsid w:val="0075396E"/>
    <w:rsid w:val="00754B8B"/>
    <w:rsid w:val="00765882"/>
    <w:rsid w:val="00765A0C"/>
    <w:rsid w:val="00774A1D"/>
    <w:rsid w:val="0078140F"/>
    <w:rsid w:val="007835C7"/>
    <w:rsid w:val="007866D1"/>
    <w:rsid w:val="007915B6"/>
    <w:rsid w:val="007A17E5"/>
    <w:rsid w:val="007A3CCD"/>
    <w:rsid w:val="007A456E"/>
    <w:rsid w:val="007B1673"/>
    <w:rsid w:val="007B3CBE"/>
    <w:rsid w:val="007B4162"/>
    <w:rsid w:val="007C0498"/>
    <w:rsid w:val="007C2B53"/>
    <w:rsid w:val="007C4217"/>
    <w:rsid w:val="007D20EF"/>
    <w:rsid w:val="007D41F6"/>
    <w:rsid w:val="007D6C1C"/>
    <w:rsid w:val="007E1226"/>
    <w:rsid w:val="007E2434"/>
    <w:rsid w:val="007E3795"/>
    <w:rsid w:val="007E632C"/>
    <w:rsid w:val="007F0733"/>
    <w:rsid w:val="007F2604"/>
    <w:rsid w:val="007F5761"/>
    <w:rsid w:val="007F5DB1"/>
    <w:rsid w:val="007F7534"/>
    <w:rsid w:val="008061A3"/>
    <w:rsid w:val="00810150"/>
    <w:rsid w:val="00810E7A"/>
    <w:rsid w:val="00811433"/>
    <w:rsid w:val="00812273"/>
    <w:rsid w:val="008173E4"/>
    <w:rsid w:val="00817547"/>
    <w:rsid w:val="0082036D"/>
    <w:rsid w:val="00820C38"/>
    <w:rsid w:val="008216C5"/>
    <w:rsid w:val="00830888"/>
    <w:rsid w:val="00831C60"/>
    <w:rsid w:val="00846854"/>
    <w:rsid w:val="00846B8C"/>
    <w:rsid w:val="0085115A"/>
    <w:rsid w:val="00861034"/>
    <w:rsid w:val="00864ED7"/>
    <w:rsid w:val="008651B1"/>
    <w:rsid w:val="00865847"/>
    <w:rsid w:val="00865C50"/>
    <w:rsid w:val="0086748C"/>
    <w:rsid w:val="00871EFA"/>
    <w:rsid w:val="0087338E"/>
    <w:rsid w:val="00885ABE"/>
    <w:rsid w:val="00885F25"/>
    <w:rsid w:val="00892E38"/>
    <w:rsid w:val="008B0783"/>
    <w:rsid w:val="008B1499"/>
    <w:rsid w:val="008B4302"/>
    <w:rsid w:val="008B7B7E"/>
    <w:rsid w:val="008C2870"/>
    <w:rsid w:val="008C5830"/>
    <w:rsid w:val="008D0F6E"/>
    <w:rsid w:val="008D3E89"/>
    <w:rsid w:val="008D5F17"/>
    <w:rsid w:val="008D726F"/>
    <w:rsid w:val="008D7C03"/>
    <w:rsid w:val="008E3F1F"/>
    <w:rsid w:val="008E5E98"/>
    <w:rsid w:val="008E7287"/>
    <w:rsid w:val="008F3808"/>
    <w:rsid w:val="008F6BAC"/>
    <w:rsid w:val="0090280A"/>
    <w:rsid w:val="00911904"/>
    <w:rsid w:val="009169BF"/>
    <w:rsid w:val="00917339"/>
    <w:rsid w:val="00926C7D"/>
    <w:rsid w:val="00930B44"/>
    <w:rsid w:val="009441FF"/>
    <w:rsid w:val="009629E5"/>
    <w:rsid w:val="00964986"/>
    <w:rsid w:val="009666F7"/>
    <w:rsid w:val="009768C3"/>
    <w:rsid w:val="00980C69"/>
    <w:rsid w:val="00985098"/>
    <w:rsid w:val="00994C2D"/>
    <w:rsid w:val="00995DDD"/>
    <w:rsid w:val="009A0856"/>
    <w:rsid w:val="009A3524"/>
    <w:rsid w:val="009A4338"/>
    <w:rsid w:val="009A6809"/>
    <w:rsid w:val="009A737F"/>
    <w:rsid w:val="009A78D2"/>
    <w:rsid w:val="009A7B85"/>
    <w:rsid w:val="009B4A59"/>
    <w:rsid w:val="009B637B"/>
    <w:rsid w:val="009C039A"/>
    <w:rsid w:val="009C100E"/>
    <w:rsid w:val="009D0546"/>
    <w:rsid w:val="009D21FA"/>
    <w:rsid w:val="009D2658"/>
    <w:rsid w:val="009F40BF"/>
    <w:rsid w:val="009F5115"/>
    <w:rsid w:val="009F5B13"/>
    <w:rsid w:val="00A0010F"/>
    <w:rsid w:val="00A00B21"/>
    <w:rsid w:val="00A0113D"/>
    <w:rsid w:val="00A0260E"/>
    <w:rsid w:val="00A02703"/>
    <w:rsid w:val="00A06059"/>
    <w:rsid w:val="00A065CE"/>
    <w:rsid w:val="00A109EE"/>
    <w:rsid w:val="00A1267C"/>
    <w:rsid w:val="00A136B3"/>
    <w:rsid w:val="00A15D82"/>
    <w:rsid w:val="00A162B8"/>
    <w:rsid w:val="00A2030D"/>
    <w:rsid w:val="00A23FFB"/>
    <w:rsid w:val="00A31A1B"/>
    <w:rsid w:val="00A32F31"/>
    <w:rsid w:val="00A37106"/>
    <w:rsid w:val="00A37A7E"/>
    <w:rsid w:val="00A416FB"/>
    <w:rsid w:val="00A6037E"/>
    <w:rsid w:val="00A64117"/>
    <w:rsid w:val="00A64459"/>
    <w:rsid w:val="00A678FC"/>
    <w:rsid w:val="00A70704"/>
    <w:rsid w:val="00A73B9B"/>
    <w:rsid w:val="00A768BD"/>
    <w:rsid w:val="00A77D00"/>
    <w:rsid w:val="00A86C3F"/>
    <w:rsid w:val="00A900DC"/>
    <w:rsid w:val="00A916D3"/>
    <w:rsid w:val="00A92E03"/>
    <w:rsid w:val="00A95F9A"/>
    <w:rsid w:val="00AA2FD3"/>
    <w:rsid w:val="00AA5058"/>
    <w:rsid w:val="00AC008F"/>
    <w:rsid w:val="00AC05E7"/>
    <w:rsid w:val="00AC2244"/>
    <w:rsid w:val="00AC48A5"/>
    <w:rsid w:val="00AD27E3"/>
    <w:rsid w:val="00AD48DB"/>
    <w:rsid w:val="00AE018B"/>
    <w:rsid w:val="00AE3CA8"/>
    <w:rsid w:val="00AE5621"/>
    <w:rsid w:val="00AF0290"/>
    <w:rsid w:val="00AF23EA"/>
    <w:rsid w:val="00AF396D"/>
    <w:rsid w:val="00B00346"/>
    <w:rsid w:val="00B0265D"/>
    <w:rsid w:val="00B073D2"/>
    <w:rsid w:val="00B125FF"/>
    <w:rsid w:val="00B22E82"/>
    <w:rsid w:val="00B2722B"/>
    <w:rsid w:val="00B30870"/>
    <w:rsid w:val="00B34170"/>
    <w:rsid w:val="00B3556B"/>
    <w:rsid w:val="00B43E9B"/>
    <w:rsid w:val="00B44A44"/>
    <w:rsid w:val="00B45DA8"/>
    <w:rsid w:val="00B464E1"/>
    <w:rsid w:val="00B47622"/>
    <w:rsid w:val="00B56273"/>
    <w:rsid w:val="00B56722"/>
    <w:rsid w:val="00B67CEE"/>
    <w:rsid w:val="00B708D4"/>
    <w:rsid w:val="00B84E42"/>
    <w:rsid w:val="00B85C67"/>
    <w:rsid w:val="00B92C57"/>
    <w:rsid w:val="00B9374B"/>
    <w:rsid w:val="00B947AB"/>
    <w:rsid w:val="00B969ED"/>
    <w:rsid w:val="00BA01F6"/>
    <w:rsid w:val="00BA32D8"/>
    <w:rsid w:val="00BA3618"/>
    <w:rsid w:val="00BA50D3"/>
    <w:rsid w:val="00BB16D5"/>
    <w:rsid w:val="00BB33C8"/>
    <w:rsid w:val="00BC0292"/>
    <w:rsid w:val="00BC6447"/>
    <w:rsid w:val="00BC75AC"/>
    <w:rsid w:val="00BD3DA6"/>
    <w:rsid w:val="00BD5244"/>
    <w:rsid w:val="00BE0EAD"/>
    <w:rsid w:val="00BE264B"/>
    <w:rsid w:val="00BE2DBC"/>
    <w:rsid w:val="00BE4858"/>
    <w:rsid w:val="00BF4516"/>
    <w:rsid w:val="00C02AF9"/>
    <w:rsid w:val="00C11398"/>
    <w:rsid w:val="00C119D7"/>
    <w:rsid w:val="00C12697"/>
    <w:rsid w:val="00C17072"/>
    <w:rsid w:val="00C1733D"/>
    <w:rsid w:val="00C22012"/>
    <w:rsid w:val="00C33F49"/>
    <w:rsid w:val="00C42EBE"/>
    <w:rsid w:val="00C43295"/>
    <w:rsid w:val="00C43FF2"/>
    <w:rsid w:val="00C51A05"/>
    <w:rsid w:val="00C57713"/>
    <w:rsid w:val="00C60B17"/>
    <w:rsid w:val="00C64D23"/>
    <w:rsid w:val="00C66E40"/>
    <w:rsid w:val="00C70A7E"/>
    <w:rsid w:val="00C71CA6"/>
    <w:rsid w:val="00C74FB6"/>
    <w:rsid w:val="00C76CE3"/>
    <w:rsid w:val="00C8023E"/>
    <w:rsid w:val="00C820A4"/>
    <w:rsid w:val="00C82380"/>
    <w:rsid w:val="00C868AF"/>
    <w:rsid w:val="00C900F0"/>
    <w:rsid w:val="00CA3726"/>
    <w:rsid w:val="00CA7329"/>
    <w:rsid w:val="00CB49EC"/>
    <w:rsid w:val="00CB7778"/>
    <w:rsid w:val="00CC3FF1"/>
    <w:rsid w:val="00CC75F9"/>
    <w:rsid w:val="00CD3DC5"/>
    <w:rsid w:val="00CD454D"/>
    <w:rsid w:val="00CD62C1"/>
    <w:rsid w:val="00CE022E"/>
    <w:rsid w:val="00CE24EB"/>
    <w:rsid w:val="00CE3117"/>
    <w:rsid w:val="00CE3436"/>
    <w:rsid w:val="00CE62D0"/>
    <w:rsid w:val="00CF06A9"/>
    <w:rsid w:val="00CF7BD0"/>
    <w:rsid w:val="00D07D27"/>
    <w:rsid w:val="00D10AE5"/>
    <w:rsid w:val="00D110E1"/>
    <w:rsid w:val="00D12D39"/>
    <w:rsid w:val="00D17039"/>
    <w:rsid w:val="00D22528"/>
    <w:rsid w:val="00D301A1"/>
    <w:rsid w:val="00D3799F"/>
    <w:rsid w:val="00D4221B"/>
    <w:rsid w:val="00D42CA4"/>
    <w:rsid w:val="00D45FCB"/>
    <w:rsid w:val="00D51430"/>
    <w:rsid w:val="00D523F9"/>
    <w:rsid w:val="00D5290A"/>
    <w:rsid w:val="00D540C3"/>
    <w:rsid w:val="00D547C8"/>
    <w:rsid w:val="00D55B12"/>
    <w:rsid w:val="00D55E34"/>
    <w:rsid w:val="00D63543"/>
    <w:rsid w:val="00D67348"/>
    <w:rsid w:val="00D7515C"/>
    <w:rsid w:val="00D75429"/>
    <w:rsid w:val="00D81B32"/>
    <w:rsid w:val="00D826CA"/>
    <w:rsid w:val="00D861F3"/>
    <w:rsid w:val="00D9245F"/>
    <w:rsid w:val="00DA36AF"/>
    <w:rsid w:val="00DA4873"/>
    <w:rsid w:val="00DA7B6E"/>
    <w:rsid w:val="00DB04B3"/>
    <w:rsid w:val="00DB0680"/>
    <w:rsid w:val="00DB6DCD"/>
    <w:rsid w:val="00DB7454"/>
    <w:rsid w:val="00DC0C29"/>
    <w:rsid w:val="00DC3E5F"/>
    <w:rsid w:val="00DC4B06"/>
    <w:rsid w:val="00DD246E"/>
    <w:rsid w:val="00DE1200"/>
    <w:rsid w:val="00DE2133"/>
    <w:rsid w:val="00DE2891"/>
    <w:rsid w:val="00DF4932"/>
    <w:rsid w:val="00E15B4C"/>
    <w:rsid w:val="00E22D29"/>
    <w:rsid w:val="00E27AE9"/>
    <w:rsid w:val="00E31940"/>
    <w:rsid w:val="00E325AD"/>
    <w:rsid w:val="00E40C6A"/>
    <w:rsid w:val="00E4171F"/>
    <w:rsid w:val="00E41CF3"/>
    <w:rsid w:val="00E421EC"/>
    <w:rsid w:val="00E54A41"/>
    <w:rsid w:val="00E60802"/>
    <w:rsid w:val="00E6381E"/>
    <w:rsid w:val="00E718B7"/>
    <w:rsid w:val="00E750C4"/>
    <w:rsid w:val="00E7708B"/>
    <w:rsid w:val="00E859C7"/>
    <w:rsid w:val="00E87335"/>
    <w:rsid w:val="00E876E7"/>
    <w:rsid w:val="00E87A2E"/>
    <w:rsid w:val="00E951DA"/>
    <w:rsid w:val="00E95353"/>
    <w:rsid w:val="00E9763F"/>
    <w:rsid w:val="00EA260E"/>
    <w:rsid w:val="00EA4950"/>
    <w:rsid w:val="00EA6CB8"/>
    <w:rsid w:val="00EB6346"/>
    <w:rsid w:val="00EB78ED"/>
    <w:rsid w:val="00EC32BF"/>
    <w:rsid w:val="00EC349C"/>
    <w:rsid w:val="00EC52D2"/>
    <w:rsid w:val="00ED149B"/>
    <w:rsid w:val="00ED3AE1"/>
    <w:rsid w:val="00EE478D"/>
    <w:rsid w:val="00EF0A8C"/>
    <w:rsid w:val="00EF6463"/>
    <w:rsid w:val="00F01BC6"/>
    <w:rsid w:val="00F12432"/>
    <w:rsid w:val="00F22740"/>
    <w:rsid w:val="00F26427"/>
    <w:rsid w:val="00F30347"/>
    <w:rsid w:val="00F30A8F"/>
    <w:rsid w:val="00F3512A"/>
    <w:rsid w:val="00F3670C"/>
    <w:rsid w:val="00F40A0B"/>
    <w:rsid w:val="00F40C60"/>
    <w:rsid w:val="00F42394"/>
    <w:rsid w:val="00F43A3F"/>
    <w:rsid w:val="00F47164"/>
    <w:rsid w:val="00F53B7A"/>
    <w:rsid w:val="00F54943"/>
    <w:rsid w:val="00F554D1"/>
    <w:rsid w:val="00F574F9"/>
    <w:rsid w:val="00F612FB"/>
    <w:rsid w:val="00F644E4"/>
    <w:rsid w:val="00F64DCF"/>
    <w:rsid w:val="00F70644"/>
    <w:rsid w:val="00F74003"/>
    <w:rsid w:val="00F76649"/>
    <w:rsid w:val="00F83443"/>
    <w:rsid w:val="00F86AEE"/>
    <w:rsid w:val="00F957C4"/>
    <w:rsid w:val="00FA3858"/>
    <w:rsid w:val="00FA57A2"/>
    <w:rsid w:val="00FA5FDD"/>
    <w:rsid w:val="00FA7FF2"/>
    <w:rsid w:val="00FB4CD8"/>
    <w:rsid w:val="00FC1F3B"/>
    <w:rsid w:val="00FC1FA5"/>
    <w:rsid w:val="00FC4604"/>
    <w:rsid w:val="00FC6C7B"/>
    <w:rsid w:val="00FD24A9"/>
    <w:rsid w:val="00FD379A"/>
    <w:rsid w:val="00FD5EE6"/>
    <w:rsid w:val="00FF39CA"/>
    <w:rsid w:val="00FF487C"/>
    <w:rsid w:val="00FF63CE"/>
    <w:rsid w:val="00FF6461"/>
    <w:rsid w:val="00FF7A87"/>
    <w:rsid w:val="010F6149"/>
    <w:rsid w:val="01175B8A"/>
    <w:rsid w:val="011A0A91"/>
    <w:rsid w:val="011A7943"/>
    <w:rsid w:val="011E54C6"/>
    <w:rsid w:val="012415C6"/>
    <w:rsid w:val="0125223A"/>
    <w:rsid w:val="0127584B"/>
    <w:rsid w:val="012F4899"/>
    <w:rsid w:val="013A1180"/>
    <w:rsid w:val="01441FE2"/>
    <w:rsid w:val="014A333B"/>
    <w:rsid w:val="01563851"/>
    <w:rsid w:val="01590696"/>
    <w:rsid w:val="015B7F6A"/>
    <w:rsid w:val="01627910"/>
    <w:rsid w:val="01637E3F"/>
    <w:rsid w:val="01746623"/>
    <w:rsid w:val="018B37F6"/>
    <w:rsid w:val="018C0C5B"/>
    <w:rsid w:val="018C7B7B"/>
    <w:rsid w:val="01B74C30"/>
    <w:rsid w:val="01C6768F"/>
    <w:rsid w:val="01CE15FC"/>
    <w:rsid w:val="01E669CA"/>
    <w:rsid w:val="01F83F20"/>
    <w:rsid w:val="01F979F1"/>
    <w:rsid w:val="01FA6735"/>
    <w:rsid w:val="02006547"/>
    <w:rsid w:val="0208510E"/>
    <w:rsid w:val="02174FC5"/>
    <w:rsid w:val="021B5458"/>
    <w:rsid w:val="02232421"/>
    <w:rsid w:val="02294E86"/>
    <w:rsid w:val="022F5EA3"/>
    <w:rsid w:val="02373970"/>
    <w:rsid w:val="023D46ED"/>
    <w:rsid w:val="025776AB"/>
    <w:rsid w:val="0259476F"/>
    <w:rsid w:val="026067C4"/>
    <w:rsid w:val="02724DF9"/>
    <w:rsid w:val="027344EC"/>
    <w:rsid w:val="02876595"/>
    <w:rsid w:val="02923921"/>
    <w:rsid w:val="029659FC"/>
    <w:rsid w:val="02A52A7C"/>
    <w:rsid w:val="02A66B1A"/>
    <w:rsid w:val="02AC7CA8"/>
    <w:rsid w:val="02B17E9A"/>
    <w:rsid w:val="02B77448"/>
    <w:rsid w:val="02C07494"/>
    <w:rsid w:val="02C36AB8"/>
    <w:rsid w:val="02C95C2F"/>
    <w:rsid w:val="02EF3358"/>
    <w:rsid w:val="02F17238"/>
    <w:rsid w:val="03031C13"/>
    <w:rsid w:val="030607B8"/>
    <w:rsid w:val="030C4D29"/>
    <w:rsid w:val="0310301B"/>
    <w:rsid w:val="0315362F"/>
    <w:rsid w:val="03220D23"/>
    <w:rsid w:val="0323743F"/>
    <w:rsid w:val="03250581"/>
    <w:rsid w:val="03287F1A"/>
    <w:rsid w:val="03454C11"/>
    <w:rsid w:val="034A6F28"/>
    <w:rsid w:val="034B1117"/>
    <w:rsid w:val="034D62C4"/>
    <w:rsid w:val="034E1758"/>
    <w:rsid w:val="034F6B0A"/>
    <w:rsid w:val="037B7BAB"/>
    <w:rsid w:val="038D794E"/>
    <w:rsid w:val="038E5163"/>
    <w:rsid w:val="03905C31"/>
    <w:rsid w:val="03985DA8"/>
    <w:rsid w:val="039A4D46"/>
    <w:rsid w:val="039B5CCC"/>
    <w:rsid w:val="03B61C88"/>
    <w:rsid w:val="03B92965"/>
    <w:rsid w:val="03BC3E31"/>
    <w:rsid w:val="03C229FB"/>
    <w:rsid w:val="03D42046"/>
    <w:rsid w:val="03D5732C"/>
    <w:rsid w:val="03DB7845"/>
    <w:rsid w:val="03F26A23"/>
    <w:rsid w:val="04005F27"/>
    <w:rsid w:val="04035252"/>
    <w:rsid w:val="0408150B"/>
    <w:rsid w:val="0409130A"/>
    <w:rsid w:val="040F24C5"/>
    <w:rsid w:val="0423155E"/>
    <w:rsid w:val="042855DB"/>
    <w:rsid w:val="043C5907"/>
    <w:rsid w:val="043E5498"/>
    <w:rsid w:val="04477813"/>
    <w:rsid w:val="045569F2"/>
    <w:rsid w:val="047012FF"/>
    <w:rsid w:val="04717507"/>
    <w:rsid w:val="047D2499"/>
    <w:rsid w:val="047E43E9"/>
    <w:rsid w:val="048C5448"/>
    <w:rsid w:val="048D7E4B"/>
    <w:rsid w:val="04BA32ED"/>
    <w:rsid w:val="04BD1DF1"/>
    <w:rsid w:val="04BF1439"/>
    <w:rsid w:val="04D56BA2"/>
    <w:rsid w:val="050B5908"/>
    <w:rsid w:val="050F2F66"/>
    <w:rsid w:val="0512009B"/>
    <w:rsid w:val="0517659B"/>
    <w:rsid w:val="051A165D"/>
    <w:rsid w:val="051B2E27"/>
    <w:rsid w:val="05332B02"/>
    <w:rsid w:val="054570D6"/>
    <w:rsid w:val="054933A7"/>
    <w:rsid w:val="054E52BB"/>
    <w:rsid w:val="05504126"/>
    <w:rsid w:val="05520B5E"/>
    <w:rsid w:val="05521533"/>
    <w:rsid w:val="055552A5"/>
    <w:rsid w:val="056C5B31"/>
    <w:rsid w:val="056E3B67"/>
    <w:rsid w:val="0580005B"/>
    <w:rsid w:val="058862A3"/>
    <w:rsid w:val="058E115B"/>
    <w:rsid w:val="059330B4"/>
    <w:rsid w:val="05983FE2"/>
    <w:rsid w:val="05A11BB7"/>
    <w:rsid w:val="05A9713F"/>
    <w:rsid w:val="05B4709E"/>
    <w:rsid w:val="05B50E19"/>
    <w:rsid w:val="05BC18E0"/>
    <w:rsid w:val="05CC64F1"/>
    <w:rsid w:val="05D453DF"/>
    <w:rsid w:val="05D54F16"/>
    <w:rsid w:val="05F34DED"/>
    <w:rsid w:val="06014B01"/>
    <w:rsid w:val="06097530"/>
    <w:rsid w:val="060C26BD"/>
    <w:rsid w:val="061A4F97"/>
    <w:rsid w:val="061D46F0"/>
    <w:rsid w:val="06205D45"/>
    <w:rsid w:val="06284C00"/>
    <w:rsid w:val="06285374"/>
    <w:rsid w:val="062A73B2"/>
    <w:rsid w:val="062B37F7"/>
    <w:rsid w:val="06311D7F"/>
    <w:rsid w:val="06355395"/>
    <w:rsid w:val="0635598F"/>
    <w:rsid w:val="065A49AD"/>
    <w:rsid w:val="065F5591"/>
    <w:rsid w:val="06794761"/>
    <w:rsid w:val="068073D2"/>
    <w:rsid w:val="068B1049"/>
    <w:rsid w:val="068F44F1"/>
    <w:rsid w:val="069027B6"/>
    <w:rsid w:val="06AA7B6C"/>
    <w:rsid w:val="06B54166"/>
    <w:rsid w:val="06C740FE"/>
    <w:rsid w:val="06CF28C1"/>
    <w:rsid w:val="06D01BAC"/>
    <w:rsid w:val="06F3443B"/>
    <w:rsid w:val="06F6551C"/>
    <w:rsid w:val="06FA2BAB"/>
    <w:rsid w:val="07034877"/>
    <w:rsid w:val="070E3A77"/>
    <w:rsid w:val="0717709F"/>
    <w:rsid w:val="071D16BC"/>
    <w:rsid w:val="073706C7"/>
    <w:rsid w:val="073C65CE"/>
    <w:rsid w:val="07400C60"/>
    <w:rsid w:val="074673B4"/>
    <w:rsid w:val="07473D03"/>
    <w:rsid w:val="076D4208"/>
    <w:rsid w:val="0775270C"/>
    <w:rsid w:val="078008FE"/>
    <w:rsid w:val="078340A4"/>
    <w:rsid w:val="078D4859"/>
    <w:rsid w:val="07985474"/>
    <w:rsid w:val="079A773A"/>
    <w:rsid w:val="07A70270"/>
    <w:rsid w:val="07AB61A2"/>
    <w:rsid w:val="07BC4EAF"/>
    <w:rsid w:val="07D44276"/>
    <w:rsid w:val="07EB3E58"/>
    <w:rsid w:val="07F822C7"/>
    <w:rsid w:val="07F85810"/>
    <w:rsid w:val="08030547"/>
    <w:rsid w:val="080A3013"/>
    <w:rsid w:val="08142689"/>
    <w:rsid w:val="08146CA2"/>
    <w:rsid w:val="08160ECC"/>
    <w:rsid w:val="0819323B"/>
    <w:rsid w:val="082126F6"/>
    <w:rsid w:val="0832012F"/>
    <w:rsid w:val="083A3784"/>
    <w:rsid w:val="084304E0"/>
    <w:rsid w:val="0845269C"/>
    <w:rsid w:val="085208C4"/>
    <w:rsid w:val="085538E7"/>
    <w:rsid w:val="08634376"/>
    <w:rsid w:val="086C5D56"/>
    <w:rsid w:val="086E2AAB"/>
    <w:rsid w:val="087F4064"/>
    <w:rsid w:val="087F6DC5"/>
    <w:rsid w:val="089127D1"/>
    <w:rsid w:val="08963A40"/>
    <w:rsid w:val="089A5E8F"/>
    <w:rsid w:val="08AA6BE0"/>
    <w:rsid w:val="08AD2B32"/>
    <w:rsid w:val="08B45FA0"/>
    <w:rsid w:val="08B60AEB"/>
    <w:rsid w:val="08B95374"/>
    <w:rsid w:val="08BB280E"/>
    <w:rsid w:val="08D24848"/>
    <w:rsid w:val="08D32D60"/>
    <w:rsid w:val="08DA0871"/>
    <w:rsid w:val="08E25D21"/>
    <w:rsid w:val="08E357BD"/>
    <w:rsid w:val="08E56A5A"/>
    <w:rsid w:val="08EB0D27"/>
    <w:rsid w:val="08F9026B"/>
    <w:rsid w:val="08F950A7"/>
    <w:rsid w:val="090523CC"/>
    <w:rsid w:val="090B726F"/>
    <w:rsid w:val="090D3CE9"/>
    <w:rsid w:val="090F0A0B"/>
    <w:rsid w:val="090F4D39"/>
    <w:rsid w:val="091524E3"/>
    <w:rsid w:val="091547AA"/>
    <w:rsid w:val="091B2795"/>
    <w:rsid w:val="09322502"/>
    <w:rsid w:val="09355C2E"/>
    <w:rsid w:val="09490809"/>
    <w:rsid w:val="095920ED"/>
    <w:rsid w:val="095A5EAD"/>
    <w:rsid w:val="095B1339"/>
    <w:rsid w:val="09691BC0"/>
    <w:rsid w:val="097236B3"/>
    <w:rsid w:val="0972559B"/>
    <w:rsid w:val="09790990"/>
    <w:rsid w:val="097A3722"/>
    <w:rsid w:val="097B2F38"/>
    <w:rsid w:val="09835131"/>
    <w:rsid w:val="098A4BA4"/>
    <w:rsid w:val="09914FED"/>
    <w:rsid w:val="09915961"/>
    <w:rsid w:val="09917C0C"/>
    <w:rsid w:val="09972E03"/>
    <w:rsid w:val="09B165B8"/>
    <w:rsid w:val="09B42CF2"/>
    <w:rsid w:val="09BA3CD5"/>
    <w:rsid w:val="09C053A5"/>
    <w:rsid w:val="09CA757E"/>
    <w:rsid w:val="09DB2911"/>
    <w:rsid w:val="09E04CEF"/>
    <w:rsid w:val="0A044524"/>
    <w:rsid w:val="0A046CD9"/>
    <w:rsid w:val="0A115DF0"/>
    <w:rsid w:val="0A173E38"/>
    <w:rsid w:val="0A1E13DC"/>
    <w:rsid w:val="0A2A759A"/>
    <w:rsid w:val="0A2C616F"/>
    <w:rsid w:val="0A2F21A2"/>
    <w:rsid w:val="0A480F5B"/>
    <w:rsid w:val="0A5512E1"/>
    <w:rsid w:val="0A55629F"/>
    <w:rsid w:val="0A5570F6"/>
    <w:rsid w:val="0A641397"/>
    <w:rsid w:val="0A8876BB"/>
    <w:rsid w:val="0A8A1DCD"/>
    <w:rsid w:val="0A9042FC"/>
    <w:rsid w:val="0A986460"/>
    <w:rsid w:val="0AAB4B40"/>
    <w:rsid w:val="0AB40880"/>
    <w:rsid w:val="0ABD50F0"/>
    <w:rsid w:val="0AC23221"/>
    <w:rsid w:val="0ACE6732"/>
    <w:rsid w:val="0ACF362E"/>
    <w:rsid w:val="0ADA5AAD"/>
    <w:rsid w:val="0ADD31F7"/>
    <w:rsid w:val="0AE058C4"/>
    <w:rsid w:val="0AE94934"/>
    <w:rsid w:val="0AE96A74"/>
    <w:rsid w:val="0AEA3916"/>
    <w:rsid w:val="0AEB4E13"/>
    <w:rsid w:val="0AEC748A"/>
    <w:rsid w:val="0AED4E10"/>
    <w:rsid w:val="0AF45E6F"/>
    <w:rsid w:val="0AFF6D3F"/>
    <w:rsid w:val="0B021B75"/>
    <w:rsid w:val="0B0B1519"/>
    <w:rsid w:val="0B0D1345"/>
    <w:rsid w:val="0B102828"/>
    <w:rsid w:val="0B1C1A54"/>
    <w:rsid w:val="0B222C6C"/>
    <w:rsid w:val="0B263517"/>
    <w:rsid w:val="0B2C1324"/>
    <w:rsid w:val="0B362009"/>
    <w:rsid w:val="0B3C1E16"/>
    <w:rsid w:val="0B4847E1"/>
    <w:rsid w:val="0B517E6F"/>
    <w:rsid w:val="0B5C7E03"/>
    <w:rsid w:val="0B6E307A"/>
    <w:rsid w:val="0B714E1D"/>
    <w:rsid w:val="0B8048F3"/>
    <w:rsid w:val="0B8B57BE"/>
    <w:rsid w:val="0B8D4E2E"/>
    <w:rsid w:val="0B912E15"/>
    <w:rsid w:val="0B9D41A7"/>
    <w:rsid w:val="0BA51712"/>
    <w:rsid w:val="0BA57F05"/>
    <w:rsid w:val="0BAA0BB5"/>
    <w:rsid w:val="0BB539E9"/>
    <w:rsid w:val="0BC879A2"/>
    <w:rsid w:val="0BE60092"/>
    <w:rsid w:val="0BEF25AC"/>
    <w:rsid w:val="0BF54DB6"/>
    <w:rsid w:val="0BFA514F"/>
    <w:rsid w:val="0C014CFB"/>
    <w:rsid w:val="0C1561A3"/>
    <w:rsid w:val="0C1624A3"/>
    <w:rsid w:val="0C1935F4"/>
    <w:rsid w:val="0C22746E"/>
    <w:rsid w:val="0C2A0ECC"/>
    <w:rsid w:val="0C323480"/>
    <w:rsid w:val="0C3C6285"/>
    <w:rsid w:val="0C3D1187"/>
    <w:rsid w:val="0C447890"/>
    <w:rsid w:val="0C612B7B"/>
    <w:rsid w:val="0C8841C8"/>
    <w:rsid w:val="0C8D28C9"/>
    <w:rsid w:val="0C8D58C7"/>
    <w:rsid w:val="0C996C17"/>
    <w:rsid w:val="0CA92862"/>
    <w:rsid w:val="0CB232DA"/>
    <w:rsid w:val="0CBE1064"/>
    <w:rsid w:val="0CCA3422"/>
    <w:rsid w:val="0CD915C5"/>
    <w:rsid w:val="0CE77F32"/>
    <w:rsid w:val="0CF15442"/>
    <w:rsid w:val="0CF6306F"/>
    <w:rsid w:val="0CF93EA5"/>
    <w:rsid w:val="0CFF3DD1"/>
    <w:rsid w:val="0D00500E"/>
    <w:rsid w:val="0D052E44"/>
    <w:rsid w:val="0D0A14F9"/>
    <w:rsid w:val="0D0A7A24"/>
    <w:rsid w:val="0D21655F"/>
    <w:rsid w:val="0D2215F5"/>
    <w:rsid w:val="0D2809BB"/>
    <w:rsid w:val="0D363CC1"/>
    <w:rsid w:val="0D367947"/>
    <w:rsid w:val="0D3F308C"/>
    <w:rsid w:val="0D416B46"/>
    <w:rsid w:val="0D497F2C"/>
    <w:rsid w:val="0D595A14"/>
    <w:rsid w:val="0D6456BE"/>
    <w:rsid w:val="0D693A38"/>
    <w:rsid w:val="0D7460C9"/>
    <w:rsid w:val="0D7B1D40"/>
    <w:rsid w:val="0D854246"/>
    <w:rsid w:val="0D8F0C02"/>
    <w:rsid w:val="0DA06EF5"/>
    <w:rsid w:val="0DA627DA"/>
    <w:rsid w:val="0DC02042"/>
    <w:rsid w:val="0DC23657"/>
    <w:rsid w:val="0DC669A3"/>
    <w:rsid w:val="0DC939D7"/>
    <w:rsid w:val="0DD9582F"/>
    <w:rsid w:val="0DE00219"/>
    <w:rsid w:val="0DE0385C"/>
    <w:rsid w:val="0DE51817"/>
    <w:rsid w:val="0DFB31ED"/>
    <w:rsid w:val="0E091A47"/>
    <w:rsid w:val="0E0D34A6"/>
    <w:rsid w:val="0E1F3821"/>
    <w:rsid w:val="0E343B57"/>
    <w:rsid w:val="0E3754BC"/>
    <w:rsid w:val="0E3D6D80"/>
    <w:rsid w:val="0E43405E"/>
    <w:rsid w:val="0E443E1B"/>
    <w:rsid w:val="0E573290"/>
    <w:rsid w:val="0E6F6A10"/>
    <w:rsid w:val="0E7E24AF"/>
    <w:rsid w:val="0E832ED5"/>
    <w:rsid w:val="0E87090C"/>
    <w:rsid w:val="0E895A30"/>
    <w:rsid w:val="0E897551"/>
    <w:rsid w:val="0E93161F"/>
    <w:rsid w:val="0E941E31"/>
    <w:rsid w:val="0E9C3017"/>
    <w:rsid w:val="0EAB56DD"/>
    <w:rsid w:val="0ED40194"/>
    <w:rsid w:val="0EF244A4"/>
    <w:rsid w:val="0EF74461"/>
    <w:rsid w:val="0F064F53"/>
    <w:rsid w:val="0F0E56F1"/>
    <w:rsid w:val="0F11265D"/>
    <w:rsid w:val="0F124CD8"/>
    <w:rsid w:val="0F1C26BA"/>
    <w:rsid w:val="0F1E7263"/>
    <w:rsid w:val="0F1F33E9"/>
    <w:rsid w:val="0F207D72"/>
    <w:rsid w:val="0F2A3292"/>
    <w:rsid w:val="0F40051C"/>
    <w:rsid w:val="0F442446"/>
    <w:rsid w:val="0F4573BB"/>
    <w:rsid w:val="0F560382"/>
    <w:rsid w:val="0F670926"/>
    <w:rsid w:val="0F70056F"/>
    <w:rsid w:val="0F7E24F0"/>
    <w:rsid w:val="0F8973A2"/>
    <w:rsid w:val="0F920F24"/>
    <w:rsid w:val="0F950118"/>
    <w:rsid w:val="0F950F08"/>
    <w:rsid w:val="0FAC2CBD"/>
    <w:rsid w:val="0FAD4D01"/>
    <w:rsid w:val="0FAE00FA"/>
    <w:rsid w:val="0FAE415F"/>
    <w:rsid w:val="0FB872A8"/>
    <w:rsid w:val="0FB956B8"/>
    <w:rsid w:val="0FD94D4D"/>
    <w:rsid w:val="0FDD62CA"/>
    <w:rsid w:val="0FDE47D1"/>
    <w:rsid w:val="1008453F"/>
    <w:rsid w:val="101326E1"/>
    <w:rsid w:val="10155741"/>
    <w:rsid w:val="101D2D41"/>
    <w:rsid w:val="10223B04"/>
    <w:rsid w:val="10260758"/>
    <w:rsid w:val="102676A2"/>
    <w:rsid w:val="102B1E75"/>
    <w:rsid w:val="102E784F"/>
    <w:rsid w:val="104F666E"/>
    <w:rsid w:val="105970CE"/>
    <w:rsid w:val="105A5938"/>
    <w:rsid w:val="10701353"/>
    <w:rsid w:val="10706149"/>
    <w:rsid w:val="10781242"/>
    <w:rsid w:val="10845B69"/>
    <w:rsid w:val="108677EE"/>
    <w:rsid w:val="10A47CBE"/>
    <w:rsid w:val="10AD46A8"/>
    <w:rsid w:val="10B07B2A"/>
    <w:rsid w:val="10C81743"/>
    <w:rsid w:val="10DD39B4"/>
    <w:rsid w:val="10E0360B"/>
    <w:rsid w:val="10E226D1"/>
    <w:rsid w:val="10E978F5"/>
    <w:rsid w:val="10F15E39"/>
    <w:rsid w:val="10FC566D"/>
    <w:rsid w:val="11087082"/>
    <w:rsid w:val="11092179"/>
    <w:rsid w:val="110F3BCA"/>
    <w:rsid w:val="1113450B"/>
    <w:rsid w:val="111415EF"/>
    <w:rsid w:val="111D6FD7"/>
    <w:rsid w:val="11201FC3"/>
    <w:rsid w:val="112174A7"/>
    <w:rsid w:val="112F348A"/>
    <w:rsid w:val="11310D26"/>
    <w:rsid w:val="113B292C"/>
    <w:rsid w:val="116B5412"/>
    <w:rsid w:val="1177147F"/>
    <w:rsid w:val="117B55B4"/>
    <w:rsid w:val="119E4072"/>
    <w:rsid w:val="11A11A0D"/>
    <w:rsid w:val="11A9479D"/>
    <w:rsid w:val="11B7701B"/>
    <w:rsid w:val="11BA49FF"/>
    <w:rsid w:val="11C73260"/>
    <w:rsid w:val="11DC4446"/>
    <w:rsid w:val="120752E4"/>
    <w:rsid w:val="12163F2C"/>
    <w:rsid w:val="12164B90"/>
    <w:rsid w:val="12187B14"/>
    <w:rsid w:val="12303E61"/>
    <w:rsid w:val="12591AE8"/>
    <w:rsid w:val="126D240B"/>
    <w:rsid w:val="12714C35"/>
    <w:rsid w:val="127B6933"/>
    <w:rsid w:val="12935AEA"/>
    <w:rsid w:val="129E77FD"/>
    <w:rsid w:val="12B37D65"/>
    <w:rsid w:val="12D9707A"/>
    <w:rsid w:val="12E42E38"/>
    <w:rsid w:val="12F65A8A"/>
    <w:rsid w:val="12FC5DBA"/>
    <w:rsid w:val="13003A88"/>
    <w:rsid w:val="130431EA"/>
    <w:rsid w:val="13110E3B"/>
    <w:rsid w:val="13161795"/>
    <w:rsid w:val="13186BAE"/>
    <w:rsid w:val="131D1899"/>
    <w:rsid w:val="133A2779"/>
    <w:rsid w:val="13412DE5"/>
    <w:rsid w:val="13422696"/>
    <w:rsid w:val="134A57E0"/>
    <w:rsid w:val="13543A9B"/>
    <w:rsid w:val="136B63AD"/>
    <w:rsid w:val="13840583"/>
    <w:rsid w:val="138803F0"/>
    <w:rsid w:val="139751F3"/>
    <w:rsid w:val="139A0FF4"/>
    <w:rsid w:val="13A8080F"/>
    <w:rsid w:val="13CF4A9B"/>
    <w:rsid w:val="13D277F5"/>
    <w:rsid w:val="13DB578E"/>
    <w:rsid w:val="14003837"/>
    <w:rsid w:val="14022A77"/>
    <w:rsid w:val="140800B3"/>
    <w:rsid w:val="140806CD"/>
    <w:rsid w:val="140E11B5"/>
    <w:rsid w:val="140F13F6"/>
    <w:rsid w:val="141B4CF6"/>
    <w:rsid w:val="14260227"/>
    <w:rsid w:val="142D0B44"/>
    <w:rsid w:val="143447EF"/>
    <w:rsid w:val="143A7620"/>
    <w:rsid w:val="14602C29"/>
    <w:rsid w:val="148502AF"/>
    <w:rsid w:val="148A1FFD"/>
    <w:rsid w:val="14904BDE"/>
    <w:rsid w:val="14936E37"/>
    <w:rsid w:val="14937B54"/>
    <w:rsid w:val="14B67AEB"/>
    <w:rsid w:val="14C95E0D"/>
    <w:rsid w:val="14D60BD6"/>
    <w:rsid w:val="14D970A1"/>
    <w:rsid w:val="14DF71C4"/>
    <w:rsid w:val="14FA40E5"/>
    <w:rsid w:val="14FD7212"/>
    <w:rsid w:val="1503027E"/>
    <w:rsid w:val="150730DC"/>
    <w:rsid w:val="15081312"/>
    <w:rsid w:val="150F6DF8"/>
    <w:rsid w:val="151773EE"/>
    <w:rsid w:val="151F4382"/>
    <w:rsid w:val="152165FF"/>
    <w:rsid w:val="152E7813"/>
    <w:rsid w:val="15350C99"/>
    <w:rsid w:val="153D1D59"/>
    <w:rsid w:val="153F4F82"/>
    <w:rsid w:val="15436CC3"/>
    <w:rsid w:val="155978B0"/>
    <w:rsid w:val="15621695"/>
    <w:rsid w:val="1580155C"/>
    <w:rsid w:val="15831583"/>
    <w:rsid w:val="158A7D25"/>
    <w:rsid w:val="158B135B"/>
    <w:rsid w:val="15963D23"/>
    <w:rsid w:val="159D7728"/>
    <w:rsid w:val="15A16180"/>
    <w:rsid w:val="15AE3024"/>
    <w:rsid w:val="15B74DA8"/>
    <w:rsid w:val="15B9365E"/>
    <w:rsid w:val="15B944E0"/>
    <w:rsid w:val="15C31669"/>
    <w:rsid w:val="15D22A62"/>
    <w:rsid w:val="15DD559E"/>
    <w:rsid w:val="15EE1B46"/>
    <w:rsid w:val="15F924DA"/>
    <w:rsid w:val="15FA1A12"/>
    <w:rsid w:val="160338DF"/>
    <w:rsid w:val="16043FDD"/>
    <w:rsid w:val="160669CC"/>
    <w:rsid w:val="160B247D"/>
    <w:rsid w:val="161F5202"/>
    <w:rsid w:val="1620041C"/>
    <w:rsid w:val="16267801"/>
    <w:rsid w:val="16432118"/>
    <w:rsid w:val="1650527A"/>
    <w:rsid w:val="165D5124"/>
    <w:rsid w:val="16690FAE"/>
    <w:rsid w:val="166B773C"/>
    <w:rsid w:val="16702FFF"/>
    <w:rsid w:val="16962F20"/>
    <w:rsid w:val="16B556B3"/>
    <w:rsid w:val="16D30DC4"/>
    <w:rsid w:val="16D659EC"/>
    <w:rsid w:val="16D95423"/>
    <w:rsid w:val="16D95477"/>
    <w:rsid w:val="16DC0C8C"/>
    <w:rsid w:val="16DC7940"/>
    <w:rsid w:val="16E71127"/>
    <w:rsid w:val="16F122C8"/>
    <w:rsid w:val="16F83C55"/>
    <w:rsid w:val="1704444A"/>
    <w:rsid w:val="17100216"/>
    <w:rsid w:val="17186B60"/>
    <w:rsid w:val="17274934"/>
    <w:rsid w:val="17315124"/>
    <w:rsid w:val="173542A7"/>
    <w:rsid w:val="174032AF"/>
    <w:rsid w:val="1758488C"/>
    <w:rsid w:val="175F5701"/>
    <w:rsid w:val="176329D8"/>
    <w:rsid w:val="17677D3C"/>
    <w:rsid w:val="177912A0"/>
    <w:rsid w:val="17907B00"/>
    <w:rsid w:val="179526B8"/>
    <w:rsid w:val="179D1B98"/>
    <w:rsid w:val="179D1D25"/>
    <w:rsid w:val="17A2620C"/>
    <w:rsid w:val="17B41A9D"/>
    <w:rsid w:val="17F65BDF"/>
    <w:rsid w:val="17F85721"/>
    <w:rsid w:val="18005CB1"/>
    <w:rsid w:val="18172AC1"/>
    <w:rsid w:val="1826605D"/>
    <w:rsid w:val="182B26FF"/>
    <w:rsid w:val="183170FB"/>
    <w:rsid w:val="18345A48"/>
    <w:rsid w:val="1837036A"/>
    <w:rsid w:val="183F23D5"/>
    <w:rsid w:val="184256ED"/>
    <w:rsid w:val="18507474"/>
    <w:rsid w:val="18676361"/>
    <w:rsid w:val="186C5D66"/>
    <w:rsid w:val="187634D0"/>
    <w:rsid w:val="187714CB"/>
    <w:rsid w:val="18787C58"/>
    <w:rsid w:val="187A1F1A"/>
    <w:rsid w:val="187F4F26"/>
    <w:rsid w:val="18881E93"/>
    <w:rsid w:val="18947F89"/>
    <w:rsid w:val="18977BE8"/>
    <w:rsid w:val="189A5C39"/>
    <w:rsid w:val="18A55A36"/>
    <w:rsid w:val="18B04C14"/>
    <w:rsid w:val="18BF4E83"/>
    <w:rsid w:val="18C116C5"/>
    <w:rsid w:val="18C253EE"/>
    <w:rsid w:val="18CE0CFA"/>
    <w:rsid w:val="18DC177E"/>
    <w:rsid w:val="18DD66BD"/>
    <w:rsid w:val="18E25D6F"/>
    <w:rsid w:val="18F4510E"/>
    <w:rsid w:val="18F74C64"/>
    <w:rsid w:val="18FD2FA5"/>
    <w:rsid w:val="18FD408E"/>
    <w:rsid w:val="19051E57"/>
    <w:rsid w:val="19055E3A"/>
    <w:rsid w:val="191A24AF"/>
    <w:rsid w:val="191C6620"/>
    <w:rsid w:val="191D5A46"/>
    <w:rsid w:val="192354E5"/>
    <w:rsid w:val="1929175A"/>
    <w:rsid w:val="192E1F6B"/>
    <w:rsid w:val="19310037"/>
    <w:rsid w:val="19372C8B"/>
    <w:rsid w:val="1938091F"/>
    <w:rsid w:val="19383EF4"/>
    <w:rsid w:val="193E4365"/>
    <w:rsid w:val="19423600"/>
    <w:rsid w:val="1949770E"/>
    <w:rsid w:val="196B5FCE"/>
    <w:rsid w:val="197464C8"/>
    <w:rsid w:val="19832055"/>
    <w:rsid w:val="198779ED"/>
    <w:rsid w:val="198B7161"/>
    <w:rsid w:val="1991678D"/>
    <w:rsid w:val="19A635EC"/>
    <w:rsid w:val="19A811EF"/>
    <w:rsid w:val="19B55158"/>
    <w:rsid w:val="19C07FB5"/>
    <w:rsid w:val="19D341EC"/>
    <w:rsid w:val="19D57FBE"/>
    <w:rsid w:val="19F516B8"/>
    <w:rsid w:val="19FC03EF"/>
    <w:rsid w:val="19FC0B73"/>
    <w:rsid w:val="1A010F96"/>
    <w:rsid w:val="1A137451"/>
    <w:rsid w:val="1A2C7B81"/>
    <w:rsid w:val="1A2E41C8"/>
    <w:rsid w:val="1A335439"/>
    <w:rsid w:val="1A4843D3"/>
    <w:rsid w:val="1A4D1D7B"/>
    <w:rsid w:val="1A60165E"/>
    <w:rsid w:val="1A7441D2"/>
    <w:rsid w:val="1A800DDE"/>
    <w:rsid w:val="1A896C6E"/>
    <w:rsid w:val="1A8C7AFD"/>
    <w:rsid w:val="1A971B12"/>
    <w:rsid w:val="1A9F6572"/>
    <w:rsid w:val="1AB23854"/>
    <w:rsid w:val="1ABC19F2"/>
    <w:rsid w:val="1ABD725A"/>
    <w:rsid w:val="1AE1216B"/>
    <w:rsid w:val="1AE276DF"/>
    <w:rsid w:val="1AF7770B"/>
    <w:rsid w:val="1AF91AAA"/>
    <w:rsid w:val="1AFD3ED1"/>
    <w:rsid w:val="1B043488"/>
    <w:rsid w:val="1B1E35B6"/>
    <w:rsid w:val="1B1E5D41"/>
    <w:rsid w:val="1B277421"/>
    <w:rsid w:val="1B2B0DB3"/>
    <w:rsid w:val="1B2B75C5"/>
    <w:rsid w:val="1B36517A"/>
    <w:rsid w:val="1B494139"/>
    <w:rsid w:val="1B621C85"/>
    <w:rsid w:val="1B6F20DA"/>
    <w:rsid w:val="1B7B418C"/>
    <w:rsid w:val="1B7F21F3"/>
    <w:rsid w:val="1B8318F6"/>
    <w:rsid w:val="1B9D6EC8"/>
    <w:rsid w:val="1BBF7767"/>
    <w:rsid w:val="1BCA31B4"/>
    <w:rsid w:val="1BD355D8"/>
    <w:rsid w:val="1BE21355"/>
    <w:rsid w:val="1BE33E9D"/>
    <w:rsid w:val="1BF67D30"/>
    <w:rsid w:val="1C131395"/>
    <w:rsid w:val="1C1B5AF6"/>
    <w:rsid w:val="1C2033B6"/>
    <w:rsid w:val="1C210126"/>
    <w:rsid w:val="1C354B71"/>
    <w:rsid w:val="1C4225A5"/>
    <w:rsid w:val="1C444BBC"/>
    <w:rsid w:val="1C5A2598"/>
    <w:rsid w:val="1C644F39"/>
    <w:rsid w:val="1C6E1EEF"/>
    <w:rsid w:val="1C7B0546"/>
    <w:rsid w:val="1C9866FE"/>
    <w:rsid w:val="1CC32967"/>
    <w:rsid w:val="1CCA4D15"/>
    <w:rsid w:val="1CCB48CB"/>
    <w:rsid w:val="1CE019D5"/>
    <w:rsid w:val="1CE253BC"/>
    <w:rsid w:val="1CE553FD"/>
    <w:rsid w:val="1D2217D9"/>
    <w:rsid w:val="1D2434D5"/>
    <w:rsid w:val="1D422138"/>
    <w:rsid w:val="1D5104FE"/>
    <w:rsid w:val="1D51058F"/>
    <w:rsid w:val="1D5473B0"/>
    <w:rsid w:val="1D55210A"/>
    <w:rsid w:val="1D5E0DC0"/>
    <w:rsid w:val="1D734E64"/>
    <w:rsid w:val="1D7419A4"/>
    <w:rsid w:val="1D810F86"/>
    <w:rsid w:val="1D817A9C"/>
    <w:rsid w:val="1D8E7DE8"/>
    <w:rsid w:val="1DA16492"/>
    <w:rsid w:val="1DA210EE"/>
    <w:rsid w:val="1DAA0306"/>
    <w:rsid w:val="1DB57C90"/>
    <w:rsid w:val="1DC83350"/>
    <w:rsid w:val="1DCB76A6"/>
    <w:rsid w:val="1DCB77A3"/>
    <w:rsid w:val="1DD25845"/>
    <w:rsid w:val="1DE438DD"/>
    <w:rsid w:val="1DF02168"/>
    <w:rsid w:val="1DF43F5C"/>
    <w:rsid w:val="1DFC611C"/>
    <w:rsid w:val="1E0D1C76"/>
    <w:rsid w:val="1E237A41"/>
    <w:rsid w:val="1E333EED"/>
    <w:rsid w:val="1E3D668A"/>
    <w:rsid w:val="1E406D4C"/>
    <w:rsid w:val="1E497D21"/>
    <w:rsid w:val="1E4A5928"/>
    <w:rsid w:val="1E4D2CC5"/>
    <w:rsid w:val="1E68501C"/>
    <w:rsid w:val="1E7A6F8A"/>
    <w:rsid w:val="1E7D69B5"/>
    <w:rsid w:val="1E8104FC"/>
    <w:rsid w:val="1E946FFA"/>
    <w:rsid w:val="1E9A2BB6"/>
    <w:rsid w:val="1EA43042"/>
    <w:rsid w:val="1EB02C2C"/>
    <w:rsid w:val="1EB5505E"/>
    <w:rsid w:val="1EC73828"/>
    <w:rsid w:val="1ECB26EB"/>
    <w:rsid w:val="1EE044AB"/>
    <w:rsid w:val="1EE2179D"/>
    <w:rsid w:val="1EF545BA"/>
    <w:rsid w:val="1F2D5DD0"/>
    <w:rsid w:val="1F2D7CA3"/>
    <w:rsid w:val="1F4D6E1D"/>
    <w:rsid w:val="1F592B30"/>
    <w:rsid w:val="1F5E36CC"/>
    <w:rsid w:val="1F6D3753"/>
    <w:rsid w:val="1F700CEB"/>
    <w:rsid w:val="1F7E0BB2"/>
    <w:rsid w:val="1F8A69F6"/>
    <w:rsid w:val="1F8D0879"/>
    <w:rsid w:val="1F9338BE"/>
    <w:rsid w:val="1F961D49"/>
    <w:rsid w:val="1F974F7E"/>
    <w:rsid w:val="1FA90909"/>
    <w:rsid w:val="1FAF0C58"/>
    <w:rsid w:val="1FB82C4A"/>
    <w:rsid w:val="1FBA15CA"/>
    <w:rsid w:val="1FBD7EFF"/>
    <w:rsid w:val="1FE35539"/>
    <w:rsid w:val="1FEF1954"/>
    <w:rsid w:val="1FF30644"/>
    <w:rsid w:val="1FF376D0"/>
    <w:rsid w:val="1FFA68D6"/>
    <w:rsid w:val="20011292"/>
    <w:rsid w:val="200A66D0"/>
    <w:rsid w:val="200B5544"/>
    <w:rsid w:val="200E3D7B"/>
    <w:rsid w:val="20105BEA"/>
    <w:rsid w:val="2016723A"/>
    <w:rsid w:val="201A14BA"/>
    <w:rsid w:val="20284C92"/>
    <w:rsid w:val="20461F5D"/>
    <w:rsid w:val="20465BFA"/>
    <w:rsid w:val="205556A4"/>
    <w:rsid w:val="205F72C4"/>
    <w:rsid w:val="20611152"/>
    <w:rsid w:val="206429C8"/>
    <w:rsid w:val="20685B21"/>
    <w:rsid w:val="206C1252"/>
    <w:rsid w:val="206F1E6B"/>
    <w:rsid w:val="207F6F3E"/>
    <w:rsid w:val="20896971"/>
    <w:rsid w:val="20B54AFC"/>
    <w:rsid w:val="20BE5BB9"/>
    <w:rsid w:val="20C16E0F"/>
    <w:rsid w:val="20D41802"/>
    <w:rsid w:val="20D43923"/>
    <w:rsid w:val="20DD67CA"/>
    <w:rsid w:val="20E55407"/>
    <w:rsid w:val="20EB4CB6"/>
    <w:rsid w:val="20EE7AF8"/>
    <w:rsid w:val="20F32A9F"/>
    <w:rsid w:val="20F433B1"/>
    <w:rsid w:val="210B12B6"/>
    <w:rsid w:val="210C59D9"/>
    <w:rsid w:val="212761C4"/>
    <w:rsid w:val="212D2352"/>
    <w:rsid w:val="213112C0"/>
    <w:rsid w:val="215D13DD"/>
    <w:rsid w:val="21616EB4"/>
    <w:rsid w:val="216261FF"/>
    <w:rsid w:val="216A35A8"/>
    <w:rsid w:val="216C4B72"/>
    <w:rsid w:val="21803448"/>
    <w:rsid w:val="218361A7"/>
    <w:rsid w:val="218E1609"/>
    <w:rsid w:val="219C345F"/>
    <w:rsid w:val="219E1C99"/>
    <w:rsid w:val="21AC5DEC"/>
    <w:rsid w:val="21C71A4B"/>
    <w:rsid w:val="21C8441E"/>
    <w:rsid w:val="21CF77E5"/>
    <w:rsid w:val="21D40A8B"/>
    <w:rsid w:val="21F4187E"/>
    <w:rsid w:val="220129B6"/>
    <w:rsid w:val="22074D74"/>
    <w:rsid w:val="220F6185"/>
    <w:rsid w:val="22154E40"/>
    <w:rsid w:val="222244B6"/>
    <w:rsid w:val="22242A57"/>
    <w:rsid w:val="222B7444"/>
    <w:rsid w:val="222C19D4"/>
    <w:rsid w:val="22382F0D"/>
    <w:rsid w:val="223D5A04"/>
    <w:rsid w:val="223E41E4"/>
    <w:rsid w:val="22405FBD"/>
    <w:rsid w:val="22447F23"/>
    <w:rsid w:val="224C2A68"/>
    <w:rsid w:val="22502EDA"/>
    <w:rsid w:val="226351B8"/>
    <w:rsid w:val="226D3842"/>
    <w:rsid w:val="22753A23"/>
    <w:rsid w:val="227E1E25"/>
    <w:rsid w:val="22892BFB"/>
    <w:rsid w:val="22994391"/>
    <w:rsid w:val="22A22E64"/>
    <w:rsid w:val="22AC49C0"/>
    <w:rsid w:val="22B60D1C"/>
    <w:rsid w:val="22C25959"/>
    <w:rsid w:val="22E0389B"/>
    <w:rsid w:val="230179D6"/>
    <w:rsid w:val="23061D73"/>
    <w:rsid w:val="230A37C7"/>
    <w:rsid w:val="23175A71"/>
    <w:rsid w:val="2327459D"/>
    <w:rsid w:val="23295097"/>
    <w:rsid w:val="233A36C1"/>
    <w:rsid w:val="23447125"/>
    <w:rsid w:val="234C22EC"/>
    <w:rsid w:val="234F039C"/>
    <w:rsid w:val="23586285"/>
    <w:rsid w:val="23616514"/>
    <w:rsid w:val="2369523D"/>
    <w:rsid w:val="23891C17"/>
    <w:rsid w:val="239729A6"/>
    <w:rsid w:val="239923C2"/>
    <w:rsid w:val="23B3513F"/>
    <w:rsid w:val="23B55491"/>
    <w:rsid w:val="23BA4ADF"/>
    <w:rsid w:val="23C05C92"/>
    <w:rsid w:val="23C13399"/>
    <w:rsid w:val="23C9581E"/>
    <w:rsid w:val="23CB2EEE"/>
    <w:rsid w:val="23CD238F"/>
    <w:rsid w:val="23E95595"/>
    <w:rsid w:val="23EA7035"/>
    <w:rsid w:val="23EE13E8"/>
    <w:rsid w:val="23EE7630"/>
    <w:rsid w:val="240825B1"/>
    <w:rsid w:val="242756CD"/>
    <w:rsid w:val="24323D7B"/>
    <w:rsid w:val="24504B8B"/>
    <w:rsid w:val="24554804"/>
    <w:rsid w:val="24554CE8"/>
    <w:rsid w:val="24590899"/>
    <w:rsid w:val="245A457B"/>
    <w:rsid w:val="245E27B3"/>
    <w:rsid w:val="2463307C"/>
    <w:rsid w:val="246D4566"/>
    <w:rsid w:val="24757615"/>
    <w:rsid w:val="247C64CA"/>
    <w:rsid w:val="248147A0"/>
    <w:rsid w:val="2498375C"/>
    <w:rsid w:val="249D0531"/>
    <w:rsid w:val="24A1026F"/>
    <w:rsid w:val="24A11F6D"/>
    <w:rsid w:val="24B3537B"/>
    <w:rsid w:val="24BE25DB"/>
    <w:rsid w:val="24C62A48"/>
    <w:rsid w:val="24FC5484"/>
    <w:rsid w:val="25032DD4"/>
    <w:rsid w:val="25061E5E"/>
    <w:rsid w:val="250F1C6B"/>
    <w:rsid w:val="25180A96"/>
    <w:rsid w:val="253219C7"/>
    <w:rsid w:val="253D15EE"/>
    <w:rsid w:val="254560DD"/>
    <w:rsid w:val="2548583B"/>
    <w:rsid w:val="25635D1F"/>
    <w:rsid w:val="25781E74"/>
    <w:rsid w:val="25825451"/>
    <w:rsid w:val="25864AF3"/>
    <w:rsid w:val="259C5F0B"/>
    <w:rsid w:val="259D01A3"/>
    <w:rsid w:val="25A64E19"/>
    <w:rsid w:val="25A921B6"/>
    <w:rsid w:val="25B10539"/>
    <w:rsid w:val="25B74D46"/>
    <w:rsid w:val="25B84746"/>
    <w:rsid w:val="25B8502D"/>
    <w:rsid w:val="25C24544"/>
    <w:rsid w:val="25C262DD"/>
    <w:rsid w:val="25C61AB3"/>
    <w:rsid w:val="25E31BC4"/>
    <w:rsid w:val="25E33060"/>
    <w:rsid w:val="25EE59BA"/>
    <w:rsid w:val="26092D6A"/>
    <w:rsid w:val="26214D35"/>
    <w:rsid w:val="26214DDE"/>
    <w:rsid w:val="262B1DAA"/>
    <w:rsid w:val="262B361B"/>
    <w:rsid w:val="262E69C4"/>
    <w:rsid w:val="26322910"/>
    <w:rsid w:val="26372EE5"/>
    <w:rsid w:val="263D3EE4"/>
    <w:rsid w:val="26451730"/>
    <w:rsid w:val="26633E98"/>
    <w:rsid w:val="266F4C68"/>
    <w:rsid w:val="267B309C"/>
    <w:rsid w:val="267C0C1B"/>
    <w:rsid w:val="26850DA2"/>
    <w:rsid w:val="26936B30"/>
    <w:rsid w:val="269526CB"/>
    <w:rsid w:val="269A0557"/>
    <w:rsid w:val="26A27B40"/>
    <w:rsid w:val="26A41E20"/>
    <w:rsid w:val="26AA3D2B"/>
    <w:rsid w:val="26AE6521"/>
    <w:rsid w:val="26BA6341"/>
    <w:rsid w:val="26C1249C"/>
    <w:rsid w:val="26C21245"/>
    <w:rsid w:val="26C729BE"/>
    <w:rsid w:val="26DE2062"/>
    <w:rsid w:val="26EB3A4C"/>
    <w:rsid w:val="26F42EDF"/>
    <w:rsid w:val="26F61A81"/>
    <w:rsid w:val="270B2647"/>
    <w:rsid w:val="271D3807"/>
    <w:rsid w:val="272864B0"/>
    <w:rsid w:val="27303083"/>
    <w:rsid w:val="2735569F"/>
    <w:rsid w:val="273C5FCB"/>
    <w:rsid w:val="274E40F6"/>
    <w:rsid w:val="2754320E"/>
    <w:rsid w:val="27566AE2"/>
    <w:rsid w:val="27656480"/>
    <w:rsid w:val="276C7160"/>
    <w:rsid w:val="277A2512"/>
    <w:rsid w:val="277F1D4F"/>
    <w:rsid w:val="27890D65"/>
    <w:rsid w:val="278B7520"/>
    <w:rsid w:val="27A80E53"/>
    <w:rsid w:val="27A851A9"/>
    <w:rsid w:val="27B85946"/>
    <w:rsid w:val="27BC5CFA"/>
    <w:rsid w:val="27C22507"/>
    <w:rsid w:val="27C36258"/>
    <w:rsid w:val="27E00579"/>
    <w:rsid w:val="27E43D48"/>
    <w:rsid w:val="27EF2190"/>
    <w:rsid w:val="27EF39D3"/>
    <w:rsid w:val="28092C45"/>
    <w:rsid w:val="281A2EED"/>
    <w:rsid w:val="281D6FA2"/>
    <w:rsid w:val="28263DC0"/>
    <w:rsid w:val="282B4D7A"/>
    <w:rsid w:val="282F56CB"/>
    <w:rsid w:val="283820BF"/>
    <w:rsid w:val="285168BD"/>
    <w:rsid w:val="286662F8"/>
    <w:rsid w:val="2867152F"/>
    <w:rsid w:val="287923DA"/>
    <w:rsid w:val="289F2AE9"/>
    <w:rsid w:val="28A12CFC"/>
    <w:rsid w:val="28AE64B5"/>
    <w:rsid w:val="28BA606B"/>
    <w:rsid w:val="28C936B1"/>
    <w:rsid w:val="28CA3934"/>
    <w:rsid w:val="28DC007A"/>
    <w:rsid w:val="28E17E44"/>
    <w:rsid w:val="28E40605"/>
    <w:rsid w:val="28E525A3"/>
    <w:rsid w:val="28E74D80"/>
    <w:rsid w:val="28E81B81"/>
    <w:rsid w:val="28EE6123"/>
    <w:rsid w:val="28F0630F"/>
    <w:rsid w:val="290063B2"/>
    <w:rsid w:val="2903480B"/>
    <w:rsid w:val="2904261B"/>
    <w:rsid w:val="29093E15"/>
    <w:rsid w:val="291005A2"/>
    <w:rsid w:val="29175085"/>
    <w:rsid w:val="29287EE5"/>
    <w:rsid w:val="292A1706"/>
    <w:rsid w:val="29332C52"/>
    <w:rsid w:val="29333040"/>
    <w:rsid w:val="296D106F"/>
    <w:rsid w:val="2980240A"/>
    <w:rsid w:val="298A5863"/>
    <w:rsid w:val="298B4083"/>
    <w:rsid w:val="2994548E"/>
    <w:rsid w:val="29952A56"/>
    <w:rsid w:val="299D2D32"/>
    <w:rsid w:val="29AB12B2"/>
    <w:rsid w:val="29B61FCB"/>
    <w:rsid w:val="29B66C11"/>
    <w:rsid w:val="29B94CA8"/>
    <w:rsid w:val="29BC071C"/>
    <w:rsid w:val="29CF4D42"/>
    <w:rsid w:val="29D24929"/>
    <w:rsid w:val="29DB6742"/>
    <w:rsid w:val="29DF72D2"/>
    <w:rsid w:val="29E63753"/>
    <w:rsid w:val="29EE6B1B"/>
    <w:rsid w:val="29F922F1"/>
    <w:rsid w:val="2A096A3B"/>
    <w:rsid w:val="2A0C0D92"/>
    <w:rsid w:val="2A150DA5"/>
    <w:rsid w:val="2A176A0B"/>
    <w:rsid w:val="2A1D41FF"/>
    <w:rsid w:val="2A272163"/>
    <w:rsid w:val="2A2769B8"/>
    <w:rsid w:val="2A322433"/>
    <w:rsid w:val="2A3433F3"/>
    <w:rsid w:val="2A370D17"/>
    <w:rsid w:val="2A594B4C"/>
    <w:rsid w:val="2A626530"/>
    <w:rsid w:val="2A86054F"/>
    <w:rsid w:val="2A9B7F19"/>
    <w:rsid w:val="2AA11F5E"/>
    <w:rsid w:val="2AA13620"/>
    <w:rsid w:val="2AAF76CA"/>
    <w:rsid w:val="2AB160F0"/>
    <w:rsid w:val="2AB24F4B"/>
    <w:rsid w:val="2AB528AA"/>
    <w:rsid w:val="2ABD7B19"/>
    <w:rsid w:val="2ABF3326"/>
    <w:rsid w:val="2AC43613"/>
    <w:rsid w:val="2ACE2CA6"/>
    <w:rsid w:val="2AD73BD9"/>
    <w:rsid w:val="2AEF5C08"/>
    <w:rsid w:val="2AF82108"/>
    <w:rsid w:val="2B040DD5"/>
    <w:rsid w:val="2B0F7101"/>
    <w:rsid w:val="2B200ECD"/>
    <w:rsid w:val="2B2F288A"/>
    <w:rsid w:val="2B436788"/>
    <w:rsid w:val="2B5120DA"/>
    <w:rsid w:val="2B74614B"/>
    <w:rsid w:val="2B7C1270"/>
    <w:rsid w:val="2B817DBE"/>
    <w:rsid w:val="2B8375E8"/>
    <w:rsid w:val="2B844EC4"/>
    <w:rsid w:val="2B861A21"/>
    <w:rsid w:val="2B8949D6"/>
    <w:rsid w:val="2B927157"/>
    <w:rsid w:val="2B97044D"/>
    <w:rsid w:val="2B9D349D"/>
    <w:rsid w:val="2BAA7169"/>
    <w:rsid w:val="2BAB72D1"/>
    <w:rsid w:val="2BB424BA"/>
    <w:rsid w:val="2BB62ABE"/>
    <w:rsid w:val="2BC40F46"/>
    <w:rsid w:val="2BC728F4"/>
    <w:rsid w:val="2BC72CCE"/>
    <w:rsid w:val="2BD25504"/>
    <w:rsid w:val="2BD31D6E"/>
    <w:rsid w:val="2BE443CA"/>
    <w:rsid w:val="2BE75AC2"/>
    <w:rsid w:val="2BED4BB2"/>
    <w:rsid w:val="2BF644CA"/>
    <w:rsid w:val="2BFC1570"/>
    <w:rsid w:val="2C34608C"/>
    <w:rsid w:val="2C410B44"/>
    <w:rsid w:val="2C4A1E75"/>
    <w:rsid w:val="2C5339A0"/>
    <w:rsid w:val="2C5D536C"/>
    <w:rsid w:val="2C6063C0"/>
    <w:rsid w:val="2C636377"/>
    <w:rsid w:val="2C6425CB"/>
    <w:rsid w:val="2C684F70"/>
    <w:rsid w:val="2C760119"/>
    <w:rsid w:val="2C7F0A92"/>
    <w:rsid w:val="2C7F559A"/>
    <w:rsid w:val="2C891DBF"/>
    <w:rsid w:val="2C9E718C"/>
    <w:rsid w:val="2CA27CBD"/>
    <w:rsid w:val="2CB219E2"/>
    <w:rsid w:val="2CCD5724"/>
    <w:rsid w:val="2CD17AB0"/>
    <w:rsid w:val="2CD618F4"/>
    <w:rsid w:val="2CDA7787"/>
    <w:rsid w:val="2CEA4E5A"/>
    <w:rsid w:val="2CF205C8"/>
    <w:rsid w:val="2CF259AE"/>
    <w:rsid w:val="2CF32523"/>
    <w:rsid w:val="2CF37229"/>
    <w:rsid w:val="2CF446EF"/>
    <w:rsid w:val="2CF468AB"/>
    <w:rsid w:val="2CFF3FD0"/>
    <w:rsid w:val="2D015793"/>
    <w:rsid w:val="2D0B57ED"/>
    <w:rsid w:val="2D0D14A2"/>
    <w:rsid w:val="2D111B55"/>
    <w:rsid w:val="2D453C72"/>
    <w:rsid w:val="2D4820B2"/>
    <w:rsid w:val="2D4A0AD1"/>
    <w:rsid w:val="2D5F1889"/>
    <w:rsid w:val="2D6B0623"/>
    <w:rsid w:val="2D7B64BF"/>
    <w:rsid w:val="2DA22545"/>
    <w:rsid w:val="2DAB334E"/>
    <w:rsid w:val="2DB40149"/>
    <w:rsid w:val="2DB40BB9"/>
    <w:rsid w:val="2DB472A1"/>
    <w:rsid w:val="2DBA3A7E"/>
    <w:rsid w:val="2DBB2D88"/>
    <w:rsid w:val="2DCB704B"/>
    <w:rsid w:val="2DCE715A"/>
    <w:rsid w:val="2DEA72A9"/>
    <w:rsid w:val="2DFA26BD"/>
    <w:rsid w:val="2E0837C1"/>
    <w:rsid w:val="2E1319E1"/>
    <w:rsid w:val="2E1A14BF"/>
    <w:rsid w:val="2E1E5CCA"/>
    <w:rsid w:val="2E215665"/>
    <w:rsid w:val="2E24157F"/>
    <w:rsid w:val="2E2847A7"/>
    <w:rsid w:val="2E39422E"/>
    <w:rsid w:val="2E3B6495"/>
    <w:rsid w:val="2E5C2E9D"/>
    <w:rsid w:val="2E6F3B94"/>
    <w:rsid w:val="2E7B7394"/>
    <w:rsid w:val="2E940FD8"/>
    <w:rsid w:val="2E9B7859"/>
    <w:rsid w:val="2EA427A4"/>
    <w:rsid w:val="2EC26863"/>
    <w:rsid w:val="2EC833E5"/>
    <w:rsid w:val="2EDE5393"/>
    <w:rsid w:val="2EE9525C"/>
    <w:rsid w:val="2EE9680F"/>
    <w:rsid w:val="2EEC7FFE"/>
    <w:rsid w:val="2EED785D"/>
    <w:rsid w:val="2EFC2D46"/>
    <w:rsid w:val="2F100FC3"/>
    <w:rsid w:val="2F203262"/>
    <w:rsid w:val="2F3B0D75"/>
    <w:rsid w:val="2F3C27A9"/>
    <w:rsid w:val="2F5E211A"/>
    <w:rsid w:val="2F624D22"/>
    <w:rsid w:val="2F7119E3"/>
    <w:rsid w:val="2F757BAE"/>
    <w:rsid w:val="2F762457"/>
    <w:rsid w:val="2F830BB1"/>
    <w:rsid w:val="2F880DEC"/>
    <w:rsid w:val="2F9D18F4"/>
    <w:rsid w:val="2FA4145E"/>
    <w:rsid w:val="2FA422CB"/>
    <w:rsid w:val="2FAB66F6"/>
    <w:rsid w:val="2FAF70D5"/>
    <w:rsid w:val="2FB52B19"/>
    <w:rsid w:val="2FBE1D5C"/>
    <w:rsid w:val="2FC17A6B"/>
    <w:rsid w:val="2FCC78AB"/>
    <w:rsid w:val="2FDA71E1"/>
    <w:rsid w:val="2FDF0920"/>
    <w:rsid w:val="30021D92"/>
    <w:rsid w:val="3009626D"/>
    <w:rsid w:val="30123DA2"/>
    <w:rsid w:val="301F4C8F"/>
    <w:rsid w:val="302B5B06"/>
    <w:rsid w:val="302C70B1"/>
    <w:rsid w:val="30301A49"/>
    <w:rsid w:val="30325019"/>
    <w:rsid w:val="305F3215"/>
    <w:rsid w:val="30696878"/>
    <w:rsid w:val="306A78DF"/>
    <w:rsid w:val="306D385D"/>
    <w:rsid w:val="306D6F6A"/>
    <w:rsid w:val="307D2143"/>
    <w:rsid w:val="307E74C7"/>
    <w:rsid w:val="30846C23"/>
    <w:rsid w:val="30851778"/>
    <w:rsid w:val="30852D4A"/>
    <w:rsid w:val="30911B33"/>
    <w:rsid w:val="30A53E49"/>
    <w:rsid w:val="30A96054"/>
    <w:rsid w:val="30BB208E"/>
    <w:rsid w:val="30CB2919"/>
    <w:rsid w:val="30D1519F"/>
    <w:rsid w:val="30DF2F84"/>
    <w:rsid w:val="30E1591B"/>
    <w:rsid w:val="30F21EB5"/>
    <w:rsid w:val="30FE6B2D"/>
    <w:rsid w:val="310000C4"/>
    <w:rsid w:val="310D42FC"/>
    <w:rsid w:val="311B3834"/>
    <w:rsid w:val="31220FDE"/>
    <w:rsid w:val="312D27ED"/>
    <w:rsid w:val="31347337"/>
    <w:rsid w:val="313D3CA1"/>
    <w:rsid w:val="313D6AD9"/>
    <w:rsid w:val="314451A7"/>
    <w:rsid w:val="314558AA"/>
    <w:rsid w:val="3149706B"/>
    <w:rsid w:val="316664E5"/>
    <w:rsid w:val="3168201C"/>
    <w:rsid w:val="31750FA6"/>
    <w:rsid w:val="31960CB8"/>
    <w:rsid w:val="31A75EA9"/>
    <w:rsid w:val="31AA4198"/>
    <w:rsid w:val="31AC163C"/>
    <w:rsid w:val="31B82DBF"/>
    <w:rsid w:val="31E14B39"/>
    <w:rsid w:val="31E82DD7"/>
    <w:rsid w:val="31F2426D"/>
    <w:rsid w:val="32005A0D"/>
    <w:rsid w:val="320878C5"/>
    <w:rsid w:val="320923D6"/>
    <w:rsid w:val="32261BB4"/>
    <w:rsid w:val="32263C0A"/>
    <w:rsid w:val="322D662F"/>
    <w:rsid w:val="3244481A"/>
    <w:rsid w:val="3254409B"/>
    <w:rsid w:val="327254BA"/>
    <w:rsid w:val="327975E3"/>
    <w:rsid w:val="327B5743"/>
    <w:rsid w:val="32847D7B"/>
    <w:rsid w:val="328B2238"/>
    <w:rsid w:val="328F3A49"/>
    <w:rsid w:val="329312CB"/>
    <w:rsid w:val="329F14DC"/>
    <w:rsid w:val="32AA44BA"/>
    <w:rsid w:val="32AE49F8"/>
    <w:rsid w:val="32B045AF"/>
    <w:rsid w:val="32B85637"/>
    <w:rsid w:val="32C44CAF"/>
    <w:rsid w:val="32C77718"/>
    <w:rsid w:val="32C86210"/>
    <w:rsid w:val="32D04343"/>
    <w:rsid w:val="32D649BE"/>
    <w:rsid w:val="32D80B86"/>
    <w:rsid w:val="32DD5607"/>
    <w:rsid w:val="32E07278"/>
    <w:rsid w:val="33042107"/>
    <w:rsid w:val="33106FB7"/>
    <w:rsid w:val="33170866"/>
    <w:rsid w:val="331A79BC"/>
    <w:rsid w:val="331E37EE"/>
    <w:rsid w:val="332109DC"/>
    <w:rsid w:val="332B01E6"/>
    <w:rsid w:val="33303810"/>
    <w:rsid w:val="333F6838"/>
    <w:rsid w:val="33486FB5"/>
    <w:rsid w:val="334D3D99"/>
    <w:rsid w:val="334F3E69"/>
    <w:rsid w:val="334F40FB"/>
    <w:rsid w:val="335A3B3C"/>
    <w:rsid w:val="336F02DA"/>
    <w:rsid w:val="337F0E1D"/>
    <w:rsid w:val="33831397"/>
    <w:rsid w:val="339955E3"/>
    <w:rsid w:val="33B12EC3"/>
    <w:rsid w:val="33B17BFE"/>
    <w:rsid w:val="33BC5336"/>
    <w:rsid w:val="33BF793D"/>
    <w:rsid w:val="33C63917"/>
    <w:rsid w:val="33CD2B50"/>
    <w:rsid w:val="33CF2311"/>
    <w:rsid w:val="33DF7543"/>
    <w:rsid w:val="33E43E8A"/>
    <w:rsid w:val="33EC7CA3"/>
    <w:rsid w:val="33F24D07"/>
    <w:rsid w:val="340917E7"/>
    <w:rsid w:val="34142A15"/>
    <w:rsid w:val="341701A6"/>
    <w:rsid w:val="341F4B03"/>
    <w:rsid w:val="342D50EA"/>
    <w:rsid w:val="343C3927"/>
    <w:rsid w:val="344004FA"/>
    <w:rsid w:val="34411B95"/>
    <w:rsid w:val="34421B02"/>
    <w:rsid w:val="34502BAD"/>
    <w:rsid w:val="345539A9"/>
    <w:rsid w:val="345F128A"/>
    <w:rsid w:val="348911CE"/>
    <w:rsid w:val="348C12A4"/>
    <w:rsid w:val="348C3DF1"/>
    <w:rsid w:val="3490061F"/>
    <w:rsid w:val="349B750B"/>
    <w:rsid w:val="34B96AEA"/>
    <w:rsid w:val="34C309C8"/>
    <w:rsid w:val="34D3775A"/>
    <w:rsid w:val="34D60DEB"/>
    <w:rsid w:val="34F31FD8"/>
    <w:rsid w:val="34F65078"/>
    <w:rsid w:val="34F73DAE"/>
    <w:rsid w:val="34FD0ACA"/>
    <w:rsid w:val="35003CE4"/>
    <w:rsid w:val="35010D6C"/>
    <w:rsid w:val="35013F91"/>
    <w:rsid w:val="35056590"/>
    <w:rsid w:val="35060B4D"/>
    <w:rsid w:val="35097E2F"/>
    <w:rsid w:val="35160148"/>
    <w:rsid w:val="35242DF1"/>
    <w:rsid w:val="352657E4"/>
    <w:rsid w:val="352D246A"/>
    <w:rsid w:val="352F28F9"/>
    <w:rsid w:val="35443081"/>
    <w:rsid w:val="35463BB1"/>
    <w:rsid w:val="354A7A60"/>
    <w:rsid w:val="356A729B"/>
    <w:rsid w:val="35882864"/>
    <w:rsid w:val="35890069"/>
    <w:rsid w:val="358A7262"/>
    <w:rsid w:val="358B3EBB"/>
    <w:rsid w:val="35952882"/>
    <w:rsid w:val="35972011"/>
    <w:rsid w:val="35981522"/>
    <w:rsid w:val="35A62072"/>
    <w:rsid w:val="35AE0E62"/>
    <w:rsid w:val="35BC1974"/>
    <w:rsid w:val="35D173B4"/>
    <w:rsid w:val="35DA07C2"/>
    <w:rsid w:val="35E318EA"/>
    <w:rsid w:val="35F16DFA"/>
    <w:rsid w:val="35F27DA1"/>
    <w:rsid w:val="35FC268D"/>
    <w:rsid w:val="36051941"/>
    <w:rsid w:val="3608306D"/>
    <w:rsid w:val="363079D2"/>
    <w:rsid w:val="363C7A31"/>
    <w:rsid w:val="36493FB1"/>
    <w:rsid w:val="36505B37"/>
    <w:rsid w:val="36521CD1"/>
    <w:rsid w:val="36711BCD"/>
    <w:rsid w:val="367D6F4B"/>
    <w:rsid w:val="368F7EE8"/>
    <w:rsid w:val="369F0F68"/>
    <w:rsid w:val="36BF04A4"/>
    <w:rsid w:val="36C32369"/>
    <w:rsid w:val="36CA5F06"/>
    <w:rsid w:val="36CC591B"/>
    <w:rsid w:val="36DB2BED"/>
    <w:rsid w:val="36E97C8E"/>
    <w:rsid w:val="36EB4426"/>
    <w:rsid w:val="36EC023D"/>
    <w:rsid w:val="370B28A1"/>
    <w:rsid w:val="370D0800"/>
    <w:rsid w:val="370F1B42"/>
    <w:rsid w:val="37147187"/>
    <w:rsid w:val="371764AE"/>
    <w:rsid w:val="371C308B"/>
    <w:rsid w:val="3721411C"/>
    <w:rsid w:val="3722460E"/>
    <w:rsid w:val="373069B4"/>
    <w:rsid w:val="37342D7D"/>
    <w:rsid w:val="374C555B"/>
    <w:rsid w:val="37697B59"/>
    <w:rsid w:val="37712F0F"/>
    <w:rsid w:val="377D5C8D"/>
    <w:rsid w:val="377F2AD5"/>
    <w:rsid w:val="37823601"/>
    <w:rsid w:val="378D2EFF"/>
    <w:rsid w:val="37A10C4D"/>
    <w:rsid w:val="37A73690"/>
    <w:rsid w:val="37A859EC"/>
    <w:rsid w:val="37AC75AC"/>
    <w:rsid w:val="37AD47A6"/>
    <w:rsid w:val="37AF0C94"/>
    <w:rsid w:val="37C0512B"/>
    <w:rsid w:val="37C559C2"/>
    <w:rsid w:val="37D10A6A"/>
    <w:rsid w:val="37DC00CC"/>
    <w:rsid w:val="37E36563"/>
    <w:rsid w:val="37E94C2F"/>
    <w:rsid w:val="37EB69F7"/>
    <w:rsid w:val="37FE502F"/>
    <w:rsid w:val="380A4680"/>
    <w:rsid w:val="381558F2"/>
    <w:rsid w:val="38162F68"/>
    <w:rsid w:val="381A6C4A"/>
    <w:rsid w:val="3822531C"/>
    <w:rsid w:val="38311183"/>
    <w:rsid w:val="38357E2B"/>
    <w:rsid w:val="38383B46"/>
    <w:rsid w:val="3841737E"/>
    <w:rsid w:val="384C3CC7"/>
    <w:rsid w:val="38560F62"/>
    <w:rsid w:val="38620839"/>
    <w:rsid w:val="386D5CDC"/>
    <w:rsid w:val="38773AB9"/>
    <w:rsid w:val="3883771E"/>
    <w:rsid w:val="388656D3"/>
    <w:rsid w:val="38931205"/>
    <w:rsid w:val="389C0F12"/>
    <w:rsid w:val="389D15A5"/>
    <w:rsid w:val="38A92E35"/>
    <w:rsid w:val="38BB13C3"/>
    <w:rsid w:val="38C81679"/>
    <w:rsid w:val="38CB544C"/>
    <w:rsid w:val="38CC39CD"/>
    <w:rsid w:val="38DD1051"/>
    <w:rsid w:val="38DE6B8B"/>
    <w:rsid w:val="38E1149F"/>
    <w:rsid w:val="38E4197A"/>
    <w:rsid w:val="38EE1A73"/>
    <w:rsid w:val="38F97702"/>
    <w:rsid w:val="39267BB8"/>
    <w:rsid w:val="392D0D45"/>
    <w:rsid w:val="3937232D"/>
    <w:rsid w:val="393E6438"/>
    <w:rsid w:val="395C3C80"/>
    <w:rsid w:val="39614A25"/>
    <w:rsid w:val="3967392A"/>
    <w:rsid w:val="397C62A1"/>
    <w:rsid w:val="398E56DD"/>
    <w:rsid w:val="39944058"/>
    <w:rsid w:val="399A1094"/>
    <w:rsid w:val="399A5372"/>
    <w:rsid w:val="399C706C"/>
    <w:rsid w:val="39A166D8"/>
    <w:rsid w:val="39B3430B"/>
    <w:rsid w:val="39B8495B"/>
    <w:rsid w:val="39D25750"/>
    <w:rsid w:val="39D45AD7"/>
    <w:rsid w:val="39E6500F"/>
    <w:rsid w:val="39F114CA"/>
    <w:rsid w:val="39F560F7"/>
    <w:rsid w:val="39FC72AE"/>
    <w:rsid w:val="3A106E05"/>
    <w:rsid w:val="3A1654C3"/>
    <w:rsid w:val="3A254F8B"/>
    <w:rsid w:val="3A363D09"/>
    <w:rsid w:val="3A3C561A"/>
    <w:rsid w:val="3A442BDC"/>
    <w:rsid w:val="3A4772C2"/>
    <w:rsid w:val="3A4C6F3C"/>
    <w:rsid w:val="3A53600D"/>
    <w:rsid w:val="3A560472"/>
    <w:rsid w:val="3A5A7007"/>
    <w:rsid w:val="3A5C3CA1"/>
    <w:rsid w:val="3A5E4F88"/>
    <w:rsid w:val="3A672C3F"/>
    <w:rsid w:val="3A716E79"/>
    <w:rsid w:val="3A7F1EBD"/>
    <w:rsid w:val="3A88134E"/>
    <w:rsid w:val="3A890334"/>
    <w:rsid w:val="3A8E650E"/>
    <w:rsid w:val="3AA40A33"/>
    <w:rsid w:val="3AA75B97"/>
    <w:rsid w:val="3AA9042D"/>
    <w:rsid w:val="3AB55F6D"/>
    <w:rsid w:val="3ABC3C9D"/>
    <w:rsid w:val="3ABD6CE8"/>
    <w:rsid w:val="3AC12BBA"/>
    <w:rsid w:val="3AD01F07"/>
    <w:rsid w:val="3ADD0B95"/>
    <w:rsid w:val="3ADE7C7C"/>
    <w:rsid w:val="3AE4231A"/>
    <w:rsid w:val="3AF21294"/>
    <w:rsid w:val="3AF3753A"/>
    <w:rsid w:val="3AF410AC"/>
    <w:rsid w:val="3AF83052"/>
    <w:rsid w:val="3AFA5D53"/>
    <w:rsid w:val="3B0E1849"/>
    <w:rsid w:val="3B1F7306"/>
    <w:rsid w:val="3B203402"/>
    <w:rsid w:val="3B414976"/>
    <w:rsid w:val="3B43374A"/>
    <w:rsid w:val="3B476536"/>
    <w:rsid w:val="3B4D0AB3"/>
    <w:rsid w:val="3B510FC7"/>
    <w:rsid w:val="3B580B04"/>
    <w:rsid w:val="3B6E6951"/>
    <w:rsid w:val="3B760051"/>
    <w:rsid w:val="3B903140"/>
    <w:rsid w:val="3B937216"/>
    <w:rsid w:val="3BA515BD"/>
    <w:rsid w:val="3BA870BB"/>
    <w:rsid w:val="3BB05243"/>
    <w:rsid w:val="3BB63BAD"/>
    <w:rsid w:val="3BC86A6B"/>
    <w:rsid w:val="3BD83FEB"/>
    <w:rsid w:val="3BDB370F"/>
    <w:rsid w:val="3BDC3E9D"/>
    <w:rsid w:val="3BE163C9"/>
    <w:rsid w:val="3BE667AB"/>
    <w:rsid w:val="3BED7EDB"/>
    <w:rsid w:val="3BEE1F57"/>
    <w:rsid w:val="3BF07801"/>
    <w:rsid w:val="3BFE0F36"/>
    <w:rsid w:val="3C0A2A92"/>
    <w:rsid w:val="3C135354"/>
    <w:rsid w:val="3C157347"/>
    <w:rsid w:val="3C1610A2"/>
    <w:rsid w:val="3C18025B"/>
    <w:rsid w:val="3C2D7058"/>
    <w:rsid w:val="3C3020AB"/>
    <w:rsid w:val="3C393BD2"/>
    <w:rsid w:val="3C4B610D"/>
    <w:rsid w:val="3C5E471B"/>
    <w:rsid w:val="3C604BF1"/>
    <w:rsid w:val="3C834F33"/>
    <w:rsid w:val="3C860A4D"/>
    <w:rsid w:val="3C8772A9"/>
    <w:rsid w:val="3C91593F"/>
    <w:rsid w:val="3C9C4C5A"/>
    <w:rsid w:val="3CA11133"/>
    <w:rsid w:val="3CB45E1A"/>
    <w:rsid w:val="3CC11B36"/>
    <w:rsid w:val="3CC95FCE"/>
    <w:rsid w:val="3CD02528"/>
    <w:rsid w:val="3CD20348"/>
    <w:rsid w:val="3CE07F1A"/>
    <w:rsid w:val="3CE84C5B"/>
    <w:rsid w:val="3CEE0F9C"/>
    <w:rsid w:val="3CEE2C07"/>
    <w:rsid w:val="3CF55E90"/>
    <w:rsid w:val="3CFC1B23"/>
    <w:rsid w:val="3CFF5787"/>
    <w:rsid w:val="3D040A88"/>
    <w:rsid w:val="3D054F11"/>
    <w:rsid w:val="3D0C00A8"/>
    <w:rsid w:val="3D0F490C"/>
    <w:rsid w:val="3D1B14B6"/>
    <w:rsid w:val="3D211778"/>
    <w:rsid w:val="3D356E64"/>
    <w:rsid w:val="3D3D558E"/>
    <w:rsid w:val="3D503B79"/>
    <w:rsid w:val="3D5C6558"/>
    <w:rsid w:val="3D6345B6"/>
    <w:rsid w:val="3D6F0570"/>
    <w:rsid w:val="3D834E2C"/>
    <w:rsid w:val="3D946194"/>
    <w:rsid w:val="3D955A98"/>
    <w:rsid w:val="3D9E3932"/>
    <w:rsid w:val="3DA12104"/>
    <w:rsid w:val="3DAD159A"/>
    <w:rsid w:val="3DBF7038"/>
    <w:rsid w:val="3DC438B0"/>
    <w:rsid w:val="3DDA0332"/>
    <w:rsid w:val="3DDF31FE"/>
    <w:rsid w:val="3DE921A7"/>
    <w:rsid w:val="3DEA23E3"/>
    <w:rsid w:val="3DEF5C68"/>
    <w:rsid w:val="3DF0322A"/>
    <w:rsid w:val="3E0231FA"/>
    <w:rsid w:val="3E073A73"/>
    <w:rsid w:val="3E0C0398"/>
    <w:rsid w:val="3E0C1F95"/>
    <w:rsid w:val="3E225009"/>
    <w:rsid w:val="3E2464FA"/>
    <w:rsid w:val="3E2B3A34"/>
    <w:rsid w:val="3E2C5577"/>
    <w:rsid w:val="3E3135B7"/>
    <w:rsid w:val="3E333257"/>
    <w:rsid w:val="3E347053"/>
    <w:rsid w:val="3E3669B6"/>
    <w:rsid w:val="3E416E98"/>
    <w:rsid w:val="3E494ADD"/>
    <w:rsid w:val="3E4D45E1"/>
    <w:rsid w:val="3E577904"/>
    <w:rsid w:val="3E596617"/>
    <w:rsid w:val="3E5F24C7"/>
    <w:rsid w:val="3E610F0C"/>
    <w:rsid w:val="3E6120F1"/>
    <w:rsid w:val="3E772672"/>
    <w:rsid w:val="3E8C503E"/>
    <w:rsid w:val="3E8C66B5"/>
    <w:rsid w:val="3E8F5CC2"/>
    <w:rsid w:val="3EA3254B"/>
    <w:rsid w:val="3EB2586D"/>
    <w:rsid w:val="3EB56075"/>
    <w:rsid w:val="3EB672DF"/>
    <w:rsid w:val="3EBD05EC"/>
    <w:rsid w:val="3EBE4098"/>
    <w:rsid w:val="3EC769FC"/>
    <w:rsid w:val="3ECD3B35"/>
    <w:rsid w:val="3EF4095E"/>
    <w:rsid w:val="3EF658FD"/>
    <w:rsid w:val="3EF85819"/>
    <w:rsid w:val="3F0D114A"/>
    <w:rsid w:val="3F1B1F66"/>
    <w:rsid w:val="3F1E1886"/>
    <w:rsid w:val="3F216E11"/>
    <w:rsid w:val="3F2B10E4"/>
    <w:rsid w:val="3F30399B"/>
    <w:rsid w:val="3F3D6871"/>
    <w:rsid w:val="3F415A35"/>
    <w:rsid w:val="3F48097F"/>
    <w:rsid w:val="3F5B35A3"/>
    <w:rsid w:val="3F6031AA"/>
    <w:rsid w:val="3F730383"/>
    <w:rsid w:val="3F7344CF"/>
    <w:rsid w:val="3F7826F0"/>
    <w:rsid w:val="3F8D3681"/>
    <w:rsid w:val="3F9360E7"/>
    <w:rsid w:val="3F946F90"/>
    <w:rsid w:val="3FA25E29"/>
    <w:rsid w:val="3FA75113"/>
    <w:rsid w:val="3FAA1A26"/>
    <w:rsid w:val="3FB24A83"/>
    <w:rsid w:val="3FB83ED2"/>
    <w:rsid w:val="3FBD4F31"/>
    <w:rsid w:val="3FC16172"/>
    <w:rsid w:val="3FC96821"/>
    <w:rsid w:val="3FEA76CE"/>
    <w:rsid w:val="3FFC6C2B"/>
    <w:rsid w:val="40177855"/>
    <w:rsid w:val="40305F31"/>
    <w:rsid w:val="40310AF5"/>
    <w:rsid w:val="40396EEE"/>
    <w:rsid w:val="403A723D"/>
    <w:rsid w:val="403D5DE3"/>
    <w:rsid w:val="403E0134"/>
    <w:rsid w:val="404C22F9"/>
    <w:rsid w:val="40576DF5"/>
    <w:rsid w:val="406F6009"/>
    <w:rsid w:val="40711C8D"/>
    <w:rsid w:val="408A1A73"/>
    <w:rsid w:val="409E54AA"/>
    <w:rsid w:val="40B07F52"/>
    <w:rsid w:val="40B2404F"/>
    <w:rsid w:val="40B86C19"/>
    <w:rsid w:val="40BF7930"/>
    <w:rsid w:val="40C10131"/>
    <w:rsid w:val="40C926F4"/>
    <w:rsid w:val="40CB68E8"/>
    <w:rsid w:val="40D77678"/>
    <w:rsid w:val="40EF66AD"/>
    <w:rsid w:val="410359A5"/>
    <w:rsid w:val="41093129"/>
    <w:rsid w:val="411F1A26"/>
    <w:rsid w:val="4123411C"/>
    <w:rsid w:val="412734FC"/>
    <w:rsid w:val="41296DAE"/>
    <w:rsid w:val="412B61AA"/>
    <w:rsid w:val="4131678D"/>
    <w:rsid w:val="41347D27"/>
    <w:rsid w:val="413947D3"/>
    <w:rsid w:val="41450958"/>
    <w:rsid w:val="414A3662"/>
    <w:rsid w:val="415943D9"/>
    <w:rsid w:val="416937C0"/>
    <w:rsid w:val="41735D26"/>
    <w:rsid w:val="4176344E"/>
    <w:rsid w:val="41850A78"/>
    <w:rsid w:val="419270E5"/>
    <w:rsid w:val="4193335A"/>
    <w:rsid w:val="41966996"/>
    <w:rsid w:val="41A94FAB"/>
    <w:rsid w:val="41B7707E"/>
    <w:rsid w:val="41D42020"/>
    <w:rsid w:val="41EB4BF7"/>
    <w:rsid w:val="41EF55CE"/>
    <w:rsid w:val="41F83091"/>
    <w:rsid w:val="420F0E17"/>
    <w:rsid w:val="42161990"/>
    <w:rsid w:val="42257007"/>
    <w:rsid w:val="422669CC"/>
    <w:rsid w:val="4227740B"/>
    <w:rsid w:val="422F1E21"/>
    <w:rsid w:val="423046AB"/>
    <w:rsid w:val="42345CDD"/>
    <w:rsid w:val="42500352"/>
    <w:rsid w:val="425D69B7"/>
    <w:rsid w:val="42684B79"/>
    <w:rsid w:val="426A1BB3"/>
    <w:rsid w:val="427F0275"/>
    <w:rsid w:val="42934A9D"/>
    <w:rsid w:val="42994F17"/>
    <w:rsid w:val="42A129A1"/>
    <w:rsid w:val="42B42CD0"/>
    <w:rsid w:val="42B90436"/>
    <w:rsid w:val="42B93194"/>
    <w:rsid w:val="42BE2022"/>
    <w:rsid w:val="42C172B1"/>
    <w:rsid w:val="42C77287"/>
    <w:rsid w:val="42D165B2"/>
    <w:rsid w:val="42D70CC2"/>
    <w:rsid w:val="42D70FE9"/>
    <w:rsid w:val="42F5583E"/>
    <w:rsid w:val="42FA2250"/>
    <w:rsid w:val="430215EB"/>
    <w:rsid w:val="430900B8"/>
    <w:rsid w:val="430D0945"/>
    <w:rsid w:val="43285637"/>
    <w:rsid w:val="43382842"/>
    <w:rsid w:val="433B469C"/>
    <w:rsid w:val="434947BD"/>
    <w:rsid w:val="434C2BB8"/>
    <w:rsid w:val="434E0F21"/>
    <w:rsid w:val="4376196D"/>
    <w:rsid w:val="43765D9B"/>
    <w:rsid w:val="437C6303"/>
    <w:rsid w:val="439C0EB1"/>
    <w:rsid w:val="43A4453C"/>
    <w:rsid w:val="43BE479E"/>
    <w:rsid w:val="43BF46E4"/>
    <w:rsid w:val="43C24A53"/>
    <w:rsid w:val="43C92517"/>
    <w:rsid w:val="43CB0D27"/>
    <w:rsid w:val="43CB4C3A"/>
    <w:rsid w:val="43F23A32"/>
    <w:rsid w:val="43FF7130"/>
    <w:rsid w:val="440466D0"/>
    <w:rsid w:val="440F75F1"/>
    <w:rsid w:val="44201E61"/>
    <w:rsid w:val="443D15E4"/>
    <w:rsid w:val="443D4550"/>
    <w:rsid w:val="44422B22"/>
    <w:rsid w:val="44441830"/>
    <w:rsid w:val="4453771D"/>
    <w:rsid w:val="44673BEB"/>
    <w:rsid w:val="448F6B75"/>
    <w:rsid w:val="4490772D"/>
    <w:rsid w:val="449A74B5"/>
    <w:rsid w:val="449C426B"/>
    <w:rsid w:val="44A84D06"/>
    <w:rsid w:val="44AC258B"/>
    <w:rsid w:val="44AC3548"/>
    <w:rsid w:val="44B331E3"/>
    <w:rsid w:val="44B83F2A"/>
    <w:rsid w:val="44BA658B"/>
    <w:rsid w:val="44D1077E"/>
    <w:rsid w:val="44D15AA2"/>
    <w:rsid w:val="44D24E1D"/>
    <w:rsid w:val="44D6582E"/>
    <w:rsid w:val="44E61748"/>
    <w:rsid w:val="44E92B31"/>
    <w:rsid w:val="44EB7700"/>
    <w:rsid w:val="44F14625"/>
    <w:rsid w:val="44F16A50"/>
    <w:rsid w:val="451400EB"/>
    <w:rsid w:val="45150823"/>
    <w:rsid w:val="451708A3"/>
    <w:rsid w:val="45314269"/>
    <w:rsid w:val="45346523"/>
    <w:rsid w:val="453A02DF"/>
    <w:rsid w:val="453E5C67"/>
    <w:rsid w:val="45470133"/>
    <w:rsid w:val="455F74F0"/>
    <w:rsid w:val="4568487A"/>
    <w:rsid w:val="45714522"/>
    <w:rsid w:val="45751485"/>
    <w:rsid w:val="45930EA3"/>
    <w:rsid w:val="459E1F87"/>
    <w:rsid w:val="45A659F9"/>
    <w:rsid w:val="45C13100"/>
    <w:rsid w:val="45DD0613"/>
    <w:rsid w:val="45E00567"/>
    <w:rsid w:val="45E459B7"/>
    <w:rsid w:val="45E76FF8"/>
    <w:rsid w:val="45EC2996"/>
    <w:rsid w:val="45EE2425"/>
    <w:rsid w:val="45F358C6"/>
    <w:rsid w:val="46025DEE"/>
    <w:rsid w:val="460439DC"/>
    <w:rsid w:val="4605284F"/>
    <w:rsid w:val="46061C2F"/>
    <w:rsid w:val="461859D7"/>
    <w:rsid w:val="46231A2E"/>
    <w:rsid w:val="46356A7F"/>
    <w:rsid w:val="46371BD2"/>
    <w:rsid w:val="463F2578"/>
    <w:rsid w:val="46495756"/>
    <w:rsid w:val="464B4698"/>
    <w:rsid w:val="4665149C"/>
    <w:rsid w:val="466D2F4F"/>
    <w:rsid w:val="466F7660"/>
    <w:rsid w:val="46774762"/>
    <w:rsid w:val="46835516"/>
    <w:rsid w:val="46887839"/>
    <w:rsid w:val="469D4AA2"/>
    <w:rsid w:val="46A617CE"/>
    <w:rsid w:val="46AB2629"/>
    <w:rsid w:val="46B53288"/>
    <w:rsid w:val="46BD6E7B"/>
    <w:rsid w:val="46C84869"/>
    <w:rsid w:val="46D249E2"/>
    <w:rsid w:val="46D91DCA"/>
    <w:rsid w:val="46F73E66"/>
    <w:rsid w:val="46FF7CF2"/>
    <w:rsid w:val="470867B5"/>
    <w:rsid w:val="470C2C3A"/>
    <w:rsid w:val="470C487F"/>
    <w:rsid w:val="471C6A85"/>
    <w:rsid w:val="471F5215"/>
    <w:rsid w:val="472505E4"/>
    <w:rsid w:val="47312886"/>
    <w:rsid w:val="47384484"/>
    <w:rsid w:val="473A58C7"/>
    <w:rsid w:val="474357C3"/>
    <w:rsid w:val="474813D0"/>
    <w:rsid w:val="474B0FD5"/>
    <w:rsid w:val="4766336A"/>
    <w:rsid w:val="478A485C"/>
    <w:rsid w:val="478C491A"/>
    <w:rsid w:val="47923AAE"/>
    <w:rsid w:val="479B20B8"/>
    <w:rsid w:val="479E62B5"/>
    <w:rsid w:val="47A64500"/>
    <w:rsid w:val="47A9638A"/>
    <w:rsid w:val="47AB7EA8"/>
    <w:rsid w:val="47B65B6C"/>
    <w:rsid w:val="47BA52D6"/>
    <w:rsid w:val="47DC5A19"/>
    <w:rsid w:val="47E67DCF"/>
    <w:rsid w:val="47EB5748"/>
    <w:rsid w:val="47EF5DF1"/>
    <w:rsid w:val="47F924E8"/>
    <w:rsid w:val="47FB0493"/>
    <w:rsid w:val="47FC62C2"/>
    <w:rsid w:val="4807690E"/>
    <w:rsid w:val="4810632E"/>
    <w:rsid w:val="482D7568"/>
    <w:rsid w:val="48342166"/>
    <w:rsid w:val="4836621B"/>
    <w:rsid w:val="483768D5"/>
    <w:rsid w:val="483A4465"/>
    <w:rsid w:val="483E0239"/>
    <w:rsid w:val="484448F9"/>
    <w:rsid w:val="48455388"/>
    <w:rsid w:val="48505246"/>
    <w:rsid w:val="485A26AF"/>
    <w:rsid w:val="48670D5C"/>
    <w:rsid w:val="48757E21"/>
    <w:rsid w:val="489B7289"/>
    <w:rsid w:val="489C3EC7"/>
    <w:rsid w:val="48C866EF"/>
    <w:rsid w:val="48D053C1"/>
    <w:rsid w:val="48F65B6F"/>
    <w:rsid w:val="48F94992"/>
    <w:rsid w:val="48FA69D7"/>
    <w:rsid w:val="490B0791"/>
    <w:rsid w:val="492E7C95"/>
    <w:rsid w:val="49331CE4"/>
    <w:rsid w:val="49341FF8"/>
    <w:rsid w:val="49377C58"/>
    <w:rsid w:val="493F3AC7"/>
    <w:rsid w:val="49421227"/>
    <w:rsid w:val="4956762D"/>
    <w:rsid w:val="49595EE5"/>
    <w:rsid w:val="49682109"/>
    <w:rsid w:val="496D0447"/>
    <w:rsid w:val="496E6635"/>
    <w:rsid w:val="49727D7D"/>
    <w:rsid w:val="4973503B"/>
    <w:rsid w:val="49867A90"/>
    <w:rsid w:val="498A0FBA"/>
    <w:rsid w:val="498A6D52"/>
    <w:rsid w:val="498B2CEE"/>
    <w:rsid w:val="49930AF1"/>
    <w:rsid w:val="49A36006"/>
    <w:rsid w:val="49AA7343"/>
    <w:rsid w:val="49B175B9"/>
    <w:rsid w:val="49B35888"/>
    <w:rsid w:val="49B87FA7"/>
    <w:rsid w:val="49BA290D"/>
    <w:rsid w:val="49DF717F"/>
    <w:rsid w:val="49E47A81"/>
    <w:rsid w:val="49F216DB"/>
    <w:rsid w:val="49F800DB"/>
    <w:rsid w:val="49FC7B83"/>
    <w:rsid w:val="4A0056CC"/>
    <w:rsid w:val="4A202D4A"/>
    <w:rsid w:val="4A4118A3"/>
    <w:rsid w:val="4A471551"/>
    <w:rsid w:val="4A677289"/>
    <w:rsid w:val="4A777D22"/>
    <w:rsid w:val="4A7C765A"/>
    <w:rsid w:val="4A7D67B4"/>
    <w:rsid w:val="4A861AD8"/>
    <w:rsid w:val="4A871B0C"/>
    <w:rsid w:val="4A8835D4"/>
    <w:rsid w:val="4A902AE4"/>
    <w:rsid w:val="4A922B67"/>
    <w:rsid w:val="4AA30C9C"/>
    <w:rsid w:val="4AAC0AE2"/>
    <w:rsid w:val="4AB10238"/>
    <w:rsid w:val="4AB55418"/>
    <w:rsid w:val="4AC33A30"/>
    <w:rsid w:val="4AE2751F"/>
    <w:rsid w:val="4AF60EBA"/>
    <w:rsid w:val="4AF656A8"/>
    <w:rsid w:val="4B00384E"/>
    <w:rsid w:val="4B05481F"/>
    <w:rsid w:val="4B0A18AD"/>
    <w:rsid w:val="4B2E5048"/>
    <w:rsid w:val="4B436169"/>
    <w:rsid w:val="4B45342D"/>
    <w:rsid w:val="4B4548F3"/>
    <w:rsid w:val="4B567C13"/>
    <w:rsid w:val="4B5702CA"/>
    <w:rsid w:val="4B585338"/>
    <w:rsid w:val="4B5C5746"/>
    <w:rsid w:val="4B5F1528"/>
    <w:rsid w:val="4B606DE0"/>
    <w:rsid w:val="4B862E4E"/>
    <w:rsid w:val="4B8F5F85"/>
    <w:rsid w:val="4BA03F89"/>
    <w:rsid w:val="4BA41370"/>
    <w:rsid w:val="4BAD02E5"/>
    <w:rsid w:val="4BAE2E16"/>
    <w:rsid w:val="4BBB59F3"/>
    <w:rsid w:val="4BDD4ED6"/>
    <w:rsid w:val="4BDE46DA"/>
    <w:rsid w:val="4BDF3CF8"/>
    <w:rsid w:val="4BE00E54"/>
    <w:rsid w:val="4BF23ADC"/>
    <w:rsid w:val="4C07327C"/>
    <w:rsid w:val="4C082B89"/>
    <w:rsid w:val="4C0F236D"/>
    <w:rsid w:val="4C142676"/>
    <w:rsid w:val="4C287067"/>
    <w:rsid w:val="4C2E5983"/>
    <w:rsid w:val="4C301B74"/>
    <w:rsid w:val="4C307B6F"/>
    <w:rsid w:val="4C344508"/>
    <w:rsid w:val="4C360602"/>
    <w:rsid w:val="4C386E0D"/>
    <w:rsid w:val="4C395AF4"/>
    <w:rsid w:val="4C426B93"/>
    <w:rsid w:val="4C445D53"/>
    <w:rsid w:val="4C5A5C59"/>
    <w:rsid w:val="4C6105EC"/>
    <w:rsid w:val="4C7611DA"/>
    <w:rsid w:val="4C7E6DC9"/>
    <w:rsid w:val="4C8453F7"/>
    <w:rsid w:val="4C8705B1"/>
    <w:rsid w:val="4C8D56AE"/>
    <w:rsid w:val="4C9248AA"/>
    <w:rsid w:val="4CAB4F6E"/>
    <w:rsid w:val="4CB057A6"/>
    <w:rsid w:val="4CB4467D"/>
    <w:rsid w:val="4CDD66B1"/>
    <w:rsid w:val="4CED6B9C"/>
    <w:rsid w:val="4CEF5590"/>
    <w:rsid w:val="4D04554E"/>
    <w:rsid w:val="4D052C8A"/>
    <w:rsid w:val="4D094BCD"/>
    <w:rsid w:val="4D1947FE"/>
    <w:rsid w:val="4D1A2772"/>
    <w:rsid w:val="4D1C1588"/>
    <w:rsid w:val="4D223F53"/>
    <w:rsid w:val="4D3434F3"/>
    <w:rsid w:val="4D3C474E"/>
    <w:rsid w:val="4D4B521A"/>
    <w:rsid w:val="4D4F05DE"/>
    <w:rsid w:val="4D50670D"/>
    <w:rsid w:val="4D511790"/>
    <w:rsid w:val="4D583372"/>
    <w:rsid w:val="4D680B07"/>
    <w:rsid w:val="4D6D20C4"/>
    <w:rsid w:val="4D922884"/>
    <w:rsid w:val="4D9848A9"/>
    <w:rsid w:val="4D992726"/>
    <w:rsid w:val="4DB950FF"/>
    <w:rsid w:val="4DC87D70"/>
    <w:rsid w:val="4DD51965"/>
    <w:rsid w:val="4DE4636F"/>
    <w:rsid w:val="4DEE5E67"/>
    <w:rsid w:val="4DF43D0B"/>
    <w:rsid w:val="4DF5671F"/>
    <w:rsid w:val="4DF87E07"/>
    <w:rsid w:val="4DFC06AC"/>
    <w:rsid w:val="4E0513F8"/>
    <w:rsid w:val="4E0F79B6"/>
    <w:rsid w:val="4E103623"/>
    <w:rsid w:val="4E120796"/>
    <w:rsid w:val="4E211BA9"/>
    <w:rsid w:val="4E245AE9"/>
    <w:rsid w:val="4E5924FE"/>
    <w:rsid w:val="4E5E51F8"/>
    <w:rsid w:val="4E691E2A"/>
    <w:rsid w:val="4E78673D"/>
    <w:rsid w:val="4E7C7234"/>
    <w:rsid w:val="4E8B1F44"/>
    <w:rsid w:val="4E8F47F8"/>
    <w:rsid w:val="4E9D2A86"/>
    <w:rsid w:val="4E9E575D"/>
    <w:rsid w:val="4E9E7035"/>
    <w:rsid w:val="4EA859D8"/>
    <w:rsid w:val="4EAA62BA"/>
    <w:rsid w:val="4EAB46C5"/>
    <w:rsid w:val="4EAC5B10"/>
    <w:rsid w:val="4EBD41CA"/>
    <w:rsid w:val="4ECF65A9"/>
    <w:rsid w:val="4EDD6DEB"/>
    <w:rsid w:val="4EE17E04"/>
    <w:rsid w:val="4EF54841"/>
    <w:rsid w:val="4EFA20F3"/>
    <w:rsid w:val="4EFC6DE9"/>
    <w:rsid w:val="4F0821D7"/>
    <w:rsid w:val="4F0F5FB2"/>
    <w:rsid w:val="4F141255"/>
    <w:rsid w:val="4F231EA0"/>
    <w:rsid w:val="4F235F85"/>
    <w:rsid w:val="4F2D7F94"/>
    <w:rsid w:val="4F31634E"/>
    <w:rsid w:val="4F325E6B"/>
    <w:rsid w:val="4F3A58A7"/>
    <w:rsid w:val="4F3B0756"/>
    <w:rsid w:val="4F4D4C77"/>
    <w:rsid w:val="4F53235B"/>
    <w:rsid w:val="4F57387A"/>
    <w:rsid w:val="4F594349"/>
    <w:rsid w:val="4F6C7499"/>
    <w:rsid w:val="4F8F353D"/>
    <w:rsid w:val="4F920D65"/>
    <w:rsid w:val="4F93306E"/>
    <w:rsid w:val="4F943A0B"/>
    <w:rsid w:val="4F965EFE"/>
    <w:rsid w:val="4F9F34A2"/>
    <w:rsid w:val="4FA725B0"/>
    <w:rsid w:val="4FB2786F"/>
    <w:rsid w:val="4FCD0231"/>
    <w:rsid w:val="4FD46BFC"/>
    <w:rsid w:val="4FE62ECF"/>
    <w:rsid w:val="4FE76361"/>
    <w:rsid w:val="4FEE38A1"/>
    <w:rsid w:val="4FFC7EBF"/>
    <w:rsid w:val="501341BB"/>
    <w:rsid w:val="5014338D"/>
    <w:rsid w:val="501C0A10"/>
    <w:rsid w:val="502F417E"/>
    <w:rsid w:val="503F117F"/>
    <w:rsid w:val="50606F21"/>
    <w:rsid w:val="50695284"/>
    <w:rsid w:val="506B6227"/>
    <w:rsid w:val="50767E47"/>
    <w:rsid w:val="508B2AD6"/>
    <w:rsid w:val="50B04BE0"/>
    <w:rsid w:val="50CC77F8"/>
    <w:rsid w:val="50D77BF4"/>
    <w:rsid w:val="50DB29F5"/>
    <w:rsid w:val="50DC4EE2"/>
    <w:rsid w:val="50E76CEE"/>
    <w:rsid w:val="50F3234F"/>
    <w:rsid w:val="50F6785F"/>
    <w:rsid w:val="50F75539"/>
    <w:rsid w:val="50FC390A"/>
    <w:rsid w:val="5104621A"/>
    <w:rsid w:val="51054377"/>
    <w:rsid w:val="51090CEA"/>
    <w:rsid w:val="5114393B"/>
    <w:rsid w:val="511A475A"/>
    <w:rsid w:val="511C0382"/>
    <w:rsid w:val="5123585F"/>
    <w:rsid w:val="512661BB"/>
    <w:rsid w:val="512C1810"/>
    <w:rsid w:val="512F6E31"/>
    <w:rsid w:val="513E20CE"/>
    <w:rsid w:val="51422970"/>
    <w:rsid w:val="514E7234"/>
    <w:rsid w:val="515E22D6"/>
    <w:rsid w:val="515E297D"/>
    <w:rsid w:val="51637CFB"/>
    <w:rsid w:val="516C58F2"/>
    <w:rsid w:val="517952A0"/>
    <w:rsid w:val="517C5376"/>
    <w:rsid w:val="51841595"/>
    <w:rsid w:val="51920773"/>
    <w:rsid w:val="519337D2"/>
    <w:rsid w:val="519B3DB0"/>
    <w:rsid w:val="519D6FE9"/>
    <w:rsid w:val="51B363BA"/>
    <w:rsid w:val="51C51FFD"/>
    <w:rsid w:val="51CB4F8D"/>
    <w:rsid w:val="51CE1F7A"/>
    <w:rsid w:val="51CE4E19"/>
    <w:rsid w:val="51CE6A5A"/>
    <w:rsid w:val="51DA2310"/>
    <w:rsid w:val="51DD0827"/>
    <w:rsid w:val="51EA1CD4"/>
    <w:rsid w:val="51EF004D"/>
    <w:rsid w:val="51F46560"/>
    <w:rsid w:val="51F8444E"/>
    <w:rsid w:val="521B5013"/>
    <w:rsid w:val="521E6C1B"/>
    <w:rsid w:val="52212095"/>
    <w:rsid w:val="52272F31"/>
    <w:rsid w:val="52351B2E"/>
    <w:rsid w:val="523D56CE"/>
    <w:rsid w:val="524219FD"/>
    <w:rsid w:val="52604C2B"/>
    <w:rsid w:val="526649D6"/>
    <w:rsid w:val="5270161C"/>
    <w:rsid w:val="5275297F"/>
    <w:rsid w:val="528C16B6"/>
    <w:rsid w:val="529057D9"/>
    <w:rsid w:val="52967F19"/>
    <w:rsid w:val="529717CE"/>
    <w:rsid w:val="529A5378"/>
    <w:rsid w:val="529A5C3D"/>
    <w:rsid w:val="529B00D2"/>
    <w:rsid w:val="52B02A06"/>
    <w:rsid w:val="52B807DC"/>
    <w:rsid w:val="52B86AA8"/>
    <w:rsid w:val="52D20E88"/>
    <w:rsid w:val="52DE1D94"/>
    <w:rsid w:val="52E63C05"/>
    <w:rsid w:val="52E86B7C"/>
    <w:rsid w:val="5300053D"/>
    <w:rsid w:val="530105D5"/>
    <w:rsid w:val="53035E84"/>
    <w:rsid w:val="53132025"/>
    <w:rsid w:val="53164048"/>
    <w:rsid w:val="531B7E61"/>
    <w:rsid w:val="531D24BC"/>
    <w:rsid w:val="531E1CDA"/>
    <w:rsid w:val="53242EE3"/>
    <w:rsid w:val="53245C8D"/>
    <w:rsid w:val="53250DA5"/>
    <w:rsid w:val="53465494"/>
    <w:rsid w:val="5365116F"/>
    <w:rsid w:val="536A0F39"/>
    <w:rsid w:val="53713077"/>
    <w:rsid w:val="537677F2"/>
    <w:rsid w:val="53790169"/>
    <w:rsid w:val="53823896"/>
    <w:rsid w:val="538368E3"/>
    <w:rsid w:val="5384245E"/>
    <w:rsid w:val="53874639"/>
    <w:rsid w:val="539250E9"/>
    <w:rsid w:val="53A27D71"/>
    <w:rsid w:val="53AB27A2"/>
    <w:rsid w:val="53B6366B"/>
    <w:rsid w:val="53D732C9"/>
    <w:rsid w:val="53DA30E6"/>
    <w:rsid w:val="53DF1F3A"/>
    <w:rsid w:val="53E540AD"/>
    <w:rsid w:val="53ED4593"/>
    <w:rsid w:val="53F71421"/>
    <w:rsid w:val="53FD1149"/>
    <w:rsid w:val="53FE2744"/>
    <w:rsid w:val="540562B8"/>
    <w:rsid w:val="54113EF1"/>
    <w:rsid w:val="541478D4"/>
    <w:rsid w:val="541E336B"/>
    <w:rsid w:val="54280167"/>
    <w:rsid w:val="543115B3"/>
    <w:rsid w:val="543E641A"/>
    <w:rsid w:val="54484BD9"/>
    <w:rsid w:val="54490B4F"/>
    <w:rsid w:val="544A67FE"/>
    <w:rsid w:val="545F7349"/>
    <w:rsid w:val="5471743D"/>
    <w:rsid w:val="54725E92"/>
    <w:rsid w:val="54747AF7"/>
    <w:rsid w:val="54880FEC"/>
    <w:rsid w:val="549F6708"/>
    <w:rsid w:val="54A679A4"/>
    <w:rsid w:val="54B13999"/>
    <w:rsid w:val="54BE64BD"/>
    <w:rsid w:val="54BF2931"/>
    <w:rsid w:val="54D65938"/>
    <w:rsid w:val="54E93B90"/>
    <w:rsid w:val="54F37338"/>
    <w:rsid w:val="55152240"/>
    <w:rsid w:val="551C0801"/>
    <w:rsid w:val="55257D54"/>
    <w:rsid w:val="5536193E"/>
    <w:rsid w:val="555B7B53"/>
    <w:rsid w:val="556355F5"/>
    <w:rsid w:val="5574076C"/>
    <w:rsid w:val="55764C4B"/>
    <w:rsid w:val="558050AA"/>
    <w:rsid w:val="558F4165"/>
    <w:rsid w:val="559043C0"/>
    <w:rsid w:val="55957DDE"/>
    <w:rsid w:val="559E0DCD"/>
    <w:rsid w:val="55A24BDA"/>
    <w:rsid w:val="55C47179"/>
    <w:rsid w:val="55CF20E1"/>
    <w:rsid w:val="55D76C51"/>
    <w:rsid w:val="55EB3CAF"/>
    <w:rsid w:val="55F2331D"/>
    <w:rsid w:val="55F37E09"/>
    <w:rsid w:val="55FB45B6"/>
    <w:rsid w:val="55FB5321"/>
    <w:rsid w:val="56114F10"/>
    <w:rsid w:val="5612426C"/>
    <w:rsid w:val="561D0336"/>
    <w:rsid w:val="56276C0E"/>
    <w:rsid w:val="564B4508"/>
    <w:rsid w:val="565829EC"/>
    <w:rsid w:val="565B5AD5"/>
    <w:rsid w:val="566C5DBC"/>
    <w:rsid w:val="56756E66"/>
    <w:rsid w:val="56907BD5"/>
    <w:rsid w:val="569C043C"/>
    <w:rsid w:val="569C3046"/>
    <w:rsid w:val="56A7150D"/>
    <w:rsid w:val="56AE2530"/>
    <w:rsid w:val="56B23551"/>
    <w:rsid w:val="56B40CE4"/>
    <w:rsid w:val="56CE1748"/>
    <w:rsid w:val="56D73923"/>
    <w:rsid w:val="56D81977"/>
    <w:rsid w:val="56EF4C34"/>
    <w:rsid w:val="56F820D5"/>
    <w:rsid w:val="56FC0E90"/>
    <w:rsid w:val="57232726"/>
    <w:rsid w:val="57333FDC"/>
    <w:rsid w:val="5735171D"/>
    <w:rsid w:val="573C40A8"/>
    <w:rsid w:val="573D1C4A"/>
    <w:rsid w:val="573F7935"/>
    <w:rsid w:val="57444A3C"/>
    <w:rsid w:val="575F7817"/>
    <w:rsid w:val="5765578D"/>
    <w:rsid w:val="576638E0"/>
    <w:rsid w:val="57663F6E"/>
    <w:rsid w:val="57684357"/>
    <w:rsid w:val="57697219"/>
    <w:rsid w:val="576C74E0"/>
    <w:rsid w:val="57902CCA"/>
    <w:rsid w:val="579249D9"/>
    <w:rsid w:val="57AA26C1"/>
    <w:rsid w:val="57B448DA"/>
    <w:rsid w:val="57C04A40"/>
    <w:rsid w:val="57D06F72"/>
    <w:rsid w:val="57D34AA1"/>
    <w:rsid w:val="57D54A79"/>
    <w:rsid w:val="57EF3F0B"/>
    <w:rsid w:val="581A1A54"/>
    <w:rsid w:val="58223DCB"/>
    <w:rsid w:val="58250041"/>
    <w:rsid w:val="582552F1"/>
    <w:rsid w:val="583971B0"/>
    <w:rsid w:val="587218FD"/>
    <w:rsid w:val="58774EAC"/>
    <w:rsid w:val="587B3992"/>
    <w:rsid w:val="588258F4"/>
    <w:rsid w:val="588307C2"/>
    <w:rsid w:val="588934CB"/>
    <w:rsid w:val="588A40FE"/>
    <w:rsid w:val="588A5E2E"/>
    <w:rsid w:val="58AB70BA"/>
    <w:rsid w:val="58B05A56"/>
    <w:rsid w:val="58B45A51"/>
    <w:rsid w:val="58B53617"/>
    <w:rsid w:val="58B57045"/>
    <w:rsid w:val="58B868F9"/>
    <w:rsid w:val="58C11358"/>
    <w:rsid w:val="58D17B55"/>
    <w:rsid w:val="58E817DA"/>
    <w:rsid w:val="58EA3C9F"/>
    <w:rsid w:val="58F43604"/>
    <w:rsid w:val="58FD2C72"/>
    <w:rsid w:val="59000372"/>
    <w:rsid w:val="590E0FE3"/>
    <w:rsid w:val="5915226E"/>
    <w:rsid w:val="591561AC"/>
    <w:rsid w:val="591C751E"/>
    <w:rsid w:val="593B73DF"/>
    <w:rsid w:val="5956685F"/>
    <w:rsid w:val="595A18F2"/>
    <w:rsid w:val="59611994"/>
    <w:rsid w:val="59687D83"/>
    <w:rsid w:val="59696F6B"/>
    <w:rsid w:val="596F4091"/>
    <w:rsid w:val="59903238"/>
    <w:rsid w:val="599732E7"/>
    <w:rsid w:val="599A3298"/>
    <w:rsid w:val="59B13076"/>
    <w:rsid w:val="59CB77BC"/>
    <w:rsid w:val="59D50123"/>
    <w:rsid w:val="59D61BC0"/>
    <w:rsid w:val="59DE5524"/>
    <w:rsid w:val="59E25013"/>
    <w:rsid w:val="59EF6EBE"/>
    <w:rsid w:val="59F7152C"/>
    <w:rsid w:val="5A007C0B"/>
    <w:rsid w:val="5A0C6EE1"/>
    <w:rsid w:val="5A22179D"/>
    <w:rsid w:val="5A263BC9"/>
    <w:rsid w:val="5A295D37"/>
    <w:rsid w:val="5A2A1117"/>
    <w:rsid w:val="5A2D06C5"/>
    <w:rsid w:val="5A2F09FA"/>
    <w:rsid w:val="5A346C40"/>
    <w:rsid w:val="5A40066A"/>
    <w:rsid w:val="5A547882"/>
    <w:rsid w:val="5A625538"/>
    <w:rsid w:val="5A792F26"/>
    <w:rsid w:val="5A7A4744"/>
    <w:rsid w:val="5A7C5986"/>
    <w:rsid w:val="5A816907"/>
    <w:rsid w:val="5A8560BC"/>
    <w:rsid w:val="5A8D4124"/>
    <w:rsid w:val="5AA63DBB"/>
    <w:rsid w:val="5AB5001F"/>
    <w:rsid w:val="5AE955BD"/>
    <w:rsid w:val="5AF153D0"/>
    <w:rsid w:val="5AF20AE3"/>
    <w:rsid w:val="5B001DA5"/>
    <w:rsid w:val="5B076FDC"/>
    <w:rsid w:val="5B100AA4"/>
    <w:rsid w:val="5B1F77E0"/>
    <w:rsid w:val="5B476746"/>
    <w:rsid w:val="5B624FDD"/>
    <w:rsid w:val="5B78161A"/>
    <w:rsid w:val="5B79159A"/>
    <w:rsid w:val="5B953DD0"/>
    <w:rsid w:val="5BA579D8"/>
    <w:rsid w:val="5BBB0CBB"/>
    <w:rsid w:val="5BBC5A55"/>
    <w:rsid w:val="5BC36900"/>
    <w:rsid w:val="5BC87332"/>
    <w:rsid w:val="5BC949EC"/>
    <w:rsid w:val="5BD87D85"/>
    <w:rsid w:val="5BE063D9"/>
    <w:rsid w:val="5BE37F9B"/>
    <w:rsid w:val="5BE56087"/>
    <w:rsid w:val="5BE97301"/>
    <w:rsid w:val="5BF70247"/>
    <w:rsid w:val="5BF77CEF"/>
    <w:rsid w:val="5BFA1F99"/>
    <w:rsid w:val="5C0158B0"/>
    <w:rsid w:val="5C01593A"/>
    <w:rsid w:val="5C074DD1"/>
    <w:rsid w:val="5C094217"/>
    <w:rsid w:val="5C3D5046"/>
    <w:rsid w:val="5C516414"/>
    <w:rsid w:val="5C715B85"/>
    <w:rsid w:val="5C7C174A"/>
    <w:rsid w:val="5C8E77F2"/>
    <w:rsid w:val="5C9E15F2"/>
    <w:rsid w:val="5CA45A6C"/>
    <w:rsid w:val="5CA538CB"/>
    <w:rsid w:val="5CBB5DB9"/>
    <w:rsid w:val="5CC5433A"/>
    <w:rsid w:val="5CDC0F40"/>
    <w:rsid w:val="5D022278"/>
    <w:rsid w:val="5D072CC9"/>
    <w:rsid w:val="5D09057D"/>
    <w:rsid w:val="5D2004D7"/>
    <w:rsid w:val="5D236FE9"/>
    <w:rsid w:val="5D307051"/>
    <w:rsid w:val="5D417AC1"/>
    <w:rsid w:val="5D4F4DC1"/>
    <w:rsid w:val="5D520D38"/>
    <w:rsid w:val="5D5D210B"/>
    <w:rsid w:val="5D5F1331"/>
    <w:rsid w:val="5D671954"/>
    <w:rsid w:val="5D6A56AC"/>
    <w:rsid w:val="5D6C1900"/>
    <w:rsid w:val="5D6F3A06"/>
    <w:rsid w:val="5D795994"/>
    <w:rsid w:val="5D8023C4"/>
    <w:rsid w:val="5D8236CE"/>
    <w:rsid w:val="5D8F4D98"/>
    <w:rsid w:val="5D9115F2"/>
    <w:rsid w:val="5D9C5CD1"/>
    <w:rsid w:val="5D9E5272"/>
    <w:rsid w:val="5D9F1EAB"/>
    <w:rsid w:val="5DA877E1"/>
    <w:rsid w:val="5DA96436"/>
    <w:rsid w:val="5DAE06C2"/>
    <w:rsid w:val="5DC55D84"/>
    <w:rsid w:val="5DD367E0"/>
    <w:rsid w:val="5DD57C28"/>
    <w:rsid w:val="5DF01EEE"/>
    <w:rsid w:val="5DF41573"/>
    <w:rsid w:val="5E135908"/>
    <w:rsid w:val="5E1721EC"/>
    <w:rsid w:val="5E1D007E"/>
    <w:rsid w:val="5E1E3DF6"/>
    <w:rsid w:val="5E297221"/>
    <w:rsid w:val="5E2A65A8"/>
    <w:rsid w:val="5E384826"/>
    <w:rsid w:val="5E3D3EB5"/>
    <w:rsid w:val="5E404084"/>
    <w:rsid w:val="5E477FA3"/>
    <w:rsid w:val="5E4C0337"/>
    <w:rsid w:val="5E5C2302"/>
    <w:rsid w:val="5E5F3304"/>
    <w:rsid w:val="5E612329"/>
    <w:rsid w:val="5E62619D"/>
    <w:rsid w:val="5E683D2E"/>
    <w:rsid w:val="5E6A35A7"/>
    <w:rsid w:val="5E6C29BA"/>
    <w:rsid w:val="5E793B74"/>
    <w:rsid w:val="5E976090"/>
    <w:rsid w:val="5EBD5F21"/>
    <w:rsid w:val="5ED24D9E"/>
    <w:rsid w:val="5EDF0DB1"/>
    <w:rsid w:val="5EE773CA"/>
    <w:rsid w:val="5EF730A5"/>
    <w:rsid w:val="5EFF6D8F"/>
    <w:rsid w:val="5F0F3B9B"/>
    <w:rsid w:val="5F126857"/>
    <w:rsid w:val="5F327C37"/>
    <w:rsid w:val="5F391413"/>
    <w:rsid w:val="5F481A6E"/>
    <w:rsid w:val="5F5021CC"/>
    <w:rsid w:val="5F5948DE"/>
    <w:rsid w:val="5F622996"/>
    <w:rsid w:val="5F67303C"/>
    <w:rsid w:val="5F7527DD"/>
    <w:rsid w:val="5F7B0DC7"/>
    <w:rsid w:val="5F7D6BB8"/>
    <w:rsid w:val="5F7E4932"/>
    <w:rsid w:val="5F8551AE"/>
    <w:rsid w:val="5F883612"/>
    <w:rsid w:val="5FA42979"/>
    <w:rsid w:val="5FA47D7F"/>
    <w:rsid w:val="5FAF7028"/>
    <w:rsid w:val="5FB10F06"/>
    <w:rsid w:val="5FB42585"/>
    <w:rsid w:val="5FBA7A17"/>
    <w:rsid w:val="5FBB31F8"/>
    <w:rsid w:val="5FC36BE4"/>
    <w:rsid w:val="5FD07396"/>
    <w:rsid w:val="5FD14A66"/>
    <w:rsid w:val="5FDA636C"/>
    <w:rsid w:val="5FDD2695"/>
    <w:rsid w:val="60107907"/>
    <w:rsid w:val="60170908"/>
    <w:rsid w:val="601F26AB"/>
    <w:rsid w:val="60206610"/>
    <w:rsid w:val="602473FE"/>
    <w:rsid w:val="602538E7"/>
    <w:rsid w:val="60271C25"/>
    <w:rsid w:val="603B3109"/>
    <w:rsid w:val="60507B83"/>
    <w:rsid w:val="605F70F9"/>
    <w:rsid w:val="606A0AC5"/>
    <w:rsid w:val="60705011"/>
    <w:rsid w:val="60820814"/>
    <w:rsid w:val="60836E84"/>
    <w:rsid w:val="60891E7B"/>
    <w:rsid w:val="60903590"/>
    <w:rsid w:val="60975285"/>
    <w:rsid w:val="609A1863"/>
    <w:rsid w:val="609A50D8"/>
    <w:rsid w:val="609C3330"/>
    <w:rsid w:val="60AA0FD9"/>
    <w:rsid w:val="60B3013C"/>
    <w:rsid w:val="60C85BC4"/>
    <w:rsid w:val="60D91E50"/>
    <w:rsid w:val="60D94379"/>
    <w:rsid w:val="60F078DB"/>
    <w:rsid w:val="61130C0C"/>
    <w:rsid w:val="611754E4"/>
    <w:rsid w:val="611B3AC6"/>
    <w:rsid w:val="612007B9"/>
    <w:rsid w:val="61244CF8"/>
    <w:rsid w:val="612A5126"/>
    <w:rsid w:val="61391462"/>
    <w:rsid w:val="614E2512"/>
    <w:rsid w:val="615B676C"/>
    <w:rsid w:val="615D0CB6"/>
    <w:rsid w:val="61650F3D"/>
    <w:rsid w:val="61731DB8"/>
    <w:rsid w:val="61844663"/>
    <w:rsid w:val="61A34281"/>
    <w:rsid w:val="61A91541"/>
    <w:rsid w:val="61AB66BB"/>
    <w:rsid w:val="61AC3D37"/>
    <w:rsid w:val="61AD0D46"/>
    <w:rsid w:val="61BD2F3F"/>
    <w:rsid w:val="61BF3F5A"/>
    <w:rsid w:val="61C57F14"/>
    <w:rsid w:val="61C74A8B"/>
    <w:rsid w:val="61D21395"/>
    <w:rsid w:val="61E20ECA"/>
    <w:rsid w:val="61E4101A"/>
    <w:rsid w:val="61E549B9"/>
    <w:rsid w:val="61F05CF5"/>
    <w:rsid w:val="61FA39D4"/>
    <w:rsid w:val="62000A24"/>
    <w:rsid w:val="62122FE3"/>
    <w:rsid w:val="621561A3"/>
    <w:rsid w:val="6216741D"/>
    <w:rsid w:val="62202F35"/>
    <w:rsid w:val="622B4C1D"/>
    <w:rsid w:val="623D1ABC"/>
    <w:rsid w:val="624427F7"/>
    <w:rsid w:val="62453333"/>
    <w:rsid w:val="62483FBE"/>
    <w:rsid w:val="624D4DE1"/>
    <w:rsid w:val="624F6E0C"/>
    <w:rsid w:val="62535A9F"/>
    <w:rsid w:val="627B6AA6"/>
    <w:rsid w:val="627D360B"/>
    <w:rsid w:val="627D52E7"/>
    <w:rsid w:val="62C20EEB"/>
    <w:rsid w:val="62C34AAE"/>
    <w:rsid w:val="62CC47CA"/>
    <w:rsid w:val="62E85160"/>
    <w:rsid w:val="62F83752"/>
    <w:rsid w:val="62FC3DC9"/>
    <w:rsid w:val="6317460E"/>
    <w:rsid w:val="631B5D3C"/>
    <w:rsid w:val="63233167"/>
    <w:rsid w:val="632E5A06"/>
    <w:rsid w:val="63371B83"/>
    <w:rsid w:val="634C3BE2"/>
    <w:rsid w:val="635E0BA8"/>
    <w:rsid w:val="636D0D98"/>
    <w:rsid w:val="637008AA"/>
    <w:rsid w:val="63A72AD7"/>
    <w:rsid w:val="63AF0D06"/>
    <w:rsid w:val="63AF114D"/>
    <w:rsid w:val="63B20A7B"/>
    <w:rsid w:val="63BC20EC"/>
    <w:rsid w:val="63BE0B86"/>
    <w:rsid w:val="63C13622"/>
    <w:rsid w:val="63C31813"/>
    <w:rsid w:val="63C67344"/>
    <w:rsid w:val="63D64326"/>
    <w:rsid w:val="63DB0B9D"/>
    <w:rsid w:val="63E862C5"/>
    <w:rsid w:val="63F26259"/>
    <w:rsid w:val="640059B3"/>
    <w:rsid w:val="6406529F"/>
    <w:rsid w:val="64067F0D"/>
    <w:rsid w:val="640A6F47"/>
    <w:rsid w:val="64193652"/>
    <w:rsid w:val="641C3B34"/>
    <w:rsid w:val="641D098F"/>
    <w:rsid w:val="6424017F"/>
    <w:rsid w:val="64390054"/>
    <w:rsid w:val="64494CC7"/>
    <w:rsid w:val="644D7640"/>
    <w:rsid w:val="64506EC2"/>
    <w:rsid w:val="645570F9"/>
    <w:rsid w:val="646D6E84"/>
    <w:rsid w:val="64830B4D"/>
    <w:rsid w:val="64853079"/>
    <w:rsid w:val="64A02A4D"/>
    <w:rsid w:val="64A03F57"/>
    <w:rsid w:val="64C11871"/>
    <w:rsid w:val="64E36757"/>
    <w:rsid w:val="64F42C33"/>
    <w:rsid w:val="64F75273"/>
    <w:rsid w:val="65063003"/>
    <w:rsid w:val="650A6433"/>
    <w:rsid w:val="651C57F6"/>
    <w:rsid w:val="652956B6"/>
    <w:rsid w:val="653112CF"/>
    <w:rsid w:val="653151D4"/>
    <w:rsid w:val="654130D8"/>
    <w:rsid w:val="655319D6"/>
    <w:rsid w:val="656331F8"/>
    <w:rsid w:val="656C3277"/>
    <w:rsid w:val="65713A6A"/>
    <w:rsid w:val="657959AF"/>
    <w:rsid w:val="658056A1"/>
    <w:rsid w:val="65904518"/>
    <w:rsid w:val="659978D4"/>
    <w:rsid w:val="65A06A43"/>
    <w:rsid w:val="65A120F9"/>
    <w:rsid w:val="65B3461D"/>
    <w:rsid w:val="65BB736A"/>
    <w:rsid w:val="65C0052C"/>
    <w:rsid w:val="65C041A0"/>
    <w:rsid w:val="65CC6412"/>
    <w:rsid w:val="65D60998"/>
    <w:rsid w:val="65D83915"/>
    <w:rsid w:val="65DE3FFB"/>
    <w:rsid w:val="65E31184"/>
    <w:rsid w:val="65EA2FD9"/>
    <w:rsid w:val="66017A71"/>
    <w:rsid w:val="66066A7E"/>
    <w:rsid w:val="662C0E02"/>
    <w:rsid w:val="662D1B8D"/>
    <w:rsid w:val="662F0BC0"/>
    <w:rsid w:val="663D20BD"/>
    <w:rsid w:val="66441735"/>
    <w:rsid w:val="66482D01"/>
    <w:rsid w:val="664B1524"/>
    <w:rsid w:val="664C4471"/>
    <w:rsid w:val="665D6161"/>
    <w:rsid w:val="666F48EA"/>
    <w:rsid w:val="66767A21"/>
    <w:rsid w:val="66770141"/>
    <w:rsid w:val="667E0AA8"/>
    <w:rsid w:val="66850AC5"/>
    <w:rsid w:val="668B7274"/>
    <w:rsid w:val="669E435D"/>
    <w:rsid w:val="66A06EB7"/>
    <w:rsid w:val="66A12F8E"/>
    <w:rsid w:val="66B008AC"/>
    <w:rsid w:val="66B220DF"/>
    <w:rsid w:val="66B72DBC"/>
    <w:rsid w:val="66B76B18"/>
    <w:rsid w:val="66B93D5B"/>
    <w:rsid w:val="66BA29FD"/>
    <w:rsid w:val="66BD3D2C"/>
    <w:rsid w:val="66C936A8"/>
    <w:rsid w:val="66C975B6"/>
    <w:rsid w:val="66CD4AAE"/>
    <w:rsid w:val="66DC54BB"/>
    <w:rsid w:val="66E12D8D"/>
    <w:rsid w:val="66F8334D"/>
    <w:rsid w:val="67063022"/>
    <w:rsid w:val="67274E22"/>
    <w:rsid w:val="6728219B"/>
    <w:rsid w:val="67393D03"/>
    <w:rsid w:val="673A3E8C"/>
    <w:rsid w:val="673B43C6"/>
    <w:rsid w:val="674B27EA"/>
    <w:rsid w:val="674D06F2"/>
    <w:rsid w:val="6750192A"/>
    <w:rsid w:val="676A185C"/>
    <w:rsid w:val="676A3BD0"/>
    <w:rsid w:val="676E50E3"/>
    <w:rsid w:val="677065D0"/>
    <w:rsid w:val="67826E77"/>
    <w:rsid w:val="6783047F"/>
    <w:rsid w:val="678348DF"/>
    <w:rsid w:val="67857EF6"/>
    <w:rsid w:val="678B62C2"/>
    <w:rsid w:val="67913896"/>
    <w:rsid w:val="67983893"/>
    <w:rsid w:val="679849C2"/>
    <w:rsid w:val="67991424"/>
    <w:rsid w:val="679E1BC0"/>
    <w:rsid w:val="67B20CEA"/>
    <w:rsid w:val="67BD0F4F"/>
    <w:rsid w:val="67E053FB"/>
    <w:rsid w:val="67F71443"/>
    <w:rsid w:val="68041A63"/>
    <w:rsid w:val="6816662D"/>
    <w:rsid w:val="68294906"/>
    <w:rsid w:val="682C63A2"/>
    <w:rsid w:val="68310285"/>
    <w:rsid w:val="683B0174"/>
    <w:rsid w:val="683D4D66"/>
    <w:rsid w:val="685E6C88"/>
    <w:rsid w:val="68621152"/>
    <w:rsid w:val="68625C01"/>
    <w:rsid w:val="6864434A"/>
    <w:rsid w:val="68784B36"/>
    <w:rsid w:val="687A3F16"/>
    <w:rsid w:val="687B62EB"/>
    <w:rsid w:val="689750E7"/>
    <w:rsid w:val="689C5A5F"/>
    <w:rsid w:val="68A37AC6"/>
    <w:rsid w:val="68AE653F"/>
    <w:rsid w:val="68BE2F9F"/>
    <w:rsid w:val="68DF7C89"/>
    <w:rsid w:val="68E72C5C"/>
    <w:rsid w:val="68EC0E8D"/>
    <w:rsid w:val="68ED1117"/>
    <w:rsid w:val="68FF2FE3"/>
    <w:rsid w:val="69035ADB"/>
    <w:rsid w:val="69044238"/>
    <w:rsid w:val="690446D9"/>
    <w:rsid w:val="690518C8"/>
    <w:rsid w:val="690938CE"/>
    <w:rsid w:val="69147FB6"/>
    <w:rsid w:val="692C12D9"/>
    <w:rsid w:val="69334919"/>
    <w:rsid w:val="69371534"/>
    <w:rsid w:val="693B66A2"/>
    <w:rsid w:val="693E6A8D"/>
    <w:rsid w:val="695177EF"/>
    <w:rsid w:val="695B1619"/>
    <w:rsid w:val="695C466D"/>
    <w:rsid w:val="696344BB"/>
    <w:rsid w:val="69683916"/>
    <w:rsid w:val="696B317F"/>
    <w:rsid w:val="69771C46"/>
    <w:rsid w:val="69847085"/>
    <w:rsid w:val="69854797"/>
    <w:rsid w:val="698D4FFC"/>
    <w:rsid w:val="69982F75"/>
    <w:rsid w:val="69A220EE"/>
    <w:rsid w:val="69AC56CE"/>
    <w:rsid w:val="69C04E2C"/>
    <w:rsid w:val="69C5364F"/>
    <w:rsid w:val="69C618CD"/>
    <w:rsid w:val="69CA1BA3"/>
    <w:rsid w:val="69CC3CAA"/>
    <w:rsid w:val="69D3314A"/>
    <w:rsid w:val="69F03CC2"/>
    <w:rsid w:val="69F426A7"/>
    <w:rsid w:val="69F60DD9"/>
    <w:rsid w:val="69F62631"/>
    <w:rsid w:val="6A006683"/>
    <w:rsid w:val="6A02036F"/>
    <w:rsid w:val="6A0321E4"/>
    <w:rsid w:val="6A055A49"/>
    <w:rsid w:val="6A0E7141"/>
    <w:rsid w:val="6A163559"/>
    <w:rsid w:val="6A2848E5"/>
    <w:rsid w:val="6A302205"/>
    <w:rsid w:val="6A4659D1"/>
    <w:rsid w:val="6A5216C6"/>
    <w:rsid w:val="6A5422E4"/>
    <w:rsid w:val="6A554507"/>
    <w:rsid w:val="6A631F1E"/>
    <w:rsid w:val="6A6509A2"/>
    <w:rsid w:val="6A725CF6"/>
    <w:rsid w:val="6A753558"/>
    <w:rsid w:val="6A7F3CC5"/>
    <w:rsid w:val="6A860D66"/>
    <w:rsid w:val="6A8D1060"/>
    <w:rsid w:val="6A9529D7"/>
    <w:rsid w:val="6A9C4961"/>
    <w:rsid w:val="6A9C4F44"/>
    <w:rsid w:val="6AAD52BC"/>
    <w:rsid w:val="6ABC4433"/>
    <w:rsid w:val="6AC75B04"/>
    <w:rsid w:val="6AD369AE"/>
    <w:rsid w:val="6ADC4A35"/>
    <w:rsid w:val="6AEF293C"/>
    <w:rsid w:val="6B025B7D"/>
    <w:rsid w:val="6B193B84"/>
    <w:rsid w:val="6B2C429C"/>
    <w:rsid w:val="6B354077"/>
    <w:rsid w:val="6B4B5E96"/>
    <w:rsid w:val="6B5D050B"/>
    <w:rsid w:val="6B66242B"/>
    <w:rsid w:val="6B721CAB"/>
    <w:rsid w:val="6B771A6D"/>
    <w:rsid w:val="6B7A6BB1"/>
    <w:rsid w:val="6B7D69DB"/>
    <w:rsid w:val="6B81551B"/>
    <w:rsid w:val="6B8361EC"/>
    <w:rsid w:val="6B855CC3"/>
    <w:rsid w:val="6B9440EF"/>
    <w:rsid w:val="6BAC0F0B"/>
    <w:rsid w:val="6BC97793"/>
    <w:rsid w:val="6BE7795E"/>
    <w:rsid w:val="6BF142DD"/>
    <w:rsid w:val="6BF70723"/>
    <w:rsid w:val="6C03404B"/>
    <w:rsid w:val="6C0820B1"/>
    <w:rsid w:val="6C096DA8"/>
    <w:rsid w:val="6C220654"/>
    <w:rsid w:val="6C2A7C68"/>
    <w:rsid w:val="6C2D7192"/>
    <w:rsid w:val="6C3C5DE1"/>
    <w:rsid w:val="6C4277EB"/>
    <w:rsid w:val="6C497F41"/>
    <w:rsid w:val="6C4B06EE"/>
    <w:rsid w:val="6C56129A"/>
    <w:rsid w:val="6C5F47F2"/>
    <w:rsid w:val="6C671A5B"/>
    <w:rsid w:val="6C7018D6"/>
    <w:rsid w:val="6C790434"/>
    <w:rsid w:val="6C7A1E99"/>
    <w:rsid w:val="6C7C2768"/>
    <w:rsid w:val="6C8937DD"/>
    <w:rsid w:val="6C927A8C"/>
    <w:rsid w:val="6C947CBF"/>
    <w:rsid w:val="6C9E453E"/>
    <w:rsid w:val="6CA96235"/>
    <w:rsid w:val="6CC65660"/>
    <w:rsid w:val="6CCD11FF"/>
    <w:rsid w:val="6CD92D7B"/>
    <w:rsid w:val="6CE41A09"/>
    <w:rsid w:val="6CF87299"/>
    <w:rsid w:val="6CF929B4"/>
    <w:rsid w:val="6D0B7583"/>
    <w:rsid w:val="6D1F2AEF"/>
    <w:rsid w:val="6D217F21"/>
    <w:rsid w:val="6D2359C6"/>
    <w:rsid w:val="6D317DEE"/>
    <w:rsid w:val="6D3218D1"/>
    <w:rsid w:val="6D4612C2"/>
    <w:rsid w:val="6D48406C"/>
    <w:rsid w:val="6D4F2205"/>
    <w:rsid w:val="6D525E13"/>
    <w:rsid w:val="6D552AA2"/>
    <w:rsid w:val="6D5C74E0"/>
    <w:rsid w:val="6D7668F9"/>
    <w:rsid w:val="6D7E7F85"/>
    <w:rsid w:val="6D7F6120"/>
    <w:rsid w:val="6D824B03"/>
    <w:rsid w:val="6D8D428E"/>
    <w:rsid w:val="6DA10484"/>
    <w:rsid w:val="6DA8138E"/>
    <w:rsid w:val="6DA81FF2"/>
    <w:rsid w:val="6DAC611C"/>
    <w:rsid w:val="6DAF5102"/>
    <w:rsid w:val="6DBE636C"/>
    <w:rsid w:val="6DCB2601"/>
    <w:rsid w:val="6DCB36B4"/>
    <w:rsid w:val="6DCE756C"/>
    <w:rsid w:val="6DE50BD5"/>
    <w:rsid w:val="6DE61F5D"/>
    <w:rsid w:val="6DE85574"/>
    <w:rsid w:val="6DFD77D1"/>
    <w:rsid w:val="6E011104"/>
    <w:rsid w:val="6E102A19"/>
    <w:rsid w:val="6E150844"/>
    <w:rsid w:val="6E1A1F20"/>
    <w:rsid w:val="6E1B1EE3"/>
    <w:rsid w:val="6E1C1673"/>
    <w:rsid w:val="6E2C5E9C"/>
    <w:rsid w:val="6E3B0023"/>
    <w:rsid w:val="6E4A11AB"/>
    <w:rsid w:val="6E6A45EA"/>
    <w:rsid w:val="6E756912"/>
    <w:rsid w:val="6E874CCD"/>
    <w:rsid w:val="6E8E1F02"/>
    <w:rsid w:val="6E8E51A6"/>
    <w:rsid w:val="6EB01775"/>
    <w:rsid w:val="6EB21632"/>
    <w:rsid w:val="6EB442F8"/>
    <w:rsid w:val="6EB83D79"/>
    <w:rsid w:val="6EC50BDA"/>
    <w:rsid w:val="6EC55713"/>
    <w:rsid w:val="6EC75FD6"/>
    <w:rsid w:val="6ED1624B"/>
    <w:rsid w:val="6ED820E9"/>
    <w:rsid w:val="6EE122C3"/>
    <w:rsid w:val="6EE96ECC"/>
    <w:rsid w:val="6EEC5FD0"/>
    <w:rsid w:val="6EF84BBE"/>
    <w:rsid w:val="6F042B68"/>
    <w:rsid w:val="6F0A6F0E"/>
    <w:rsid w:val="6F1F3FA8"/>
    <w:rsid w:val="6F251C9D"/>
    <w:rsid w:val="6F3610C6"/>
    <w:rsid w:val="6F474826"/>
    <w:rsid w:val="6F505EBD"/>
    <w:rsid w:val="6F534BBB"/>
    <w:rsid w:val="6F54525D"/>
    <w:rsid w:val="6F620945"/>
    <w:rsid w:val="6F691712"/>
    <w:rsid w:val="6F730DA2"/>
    <w:rsid w:val="6F7C7B8D"/>
    <w:rsid w:val="6F925620"/>
    <w:rsid w:val="6F9858EB"/>
    <w:rsid w:val="6F9F4527"/>
    <w:rsid w:val="6FA42F62"/>
    <w:rsid w:val="6FA57676"/>
    <w:rsid w:val="6FA805EC"/>
    <w:rsid w:val="6FAB29C0"/>
    <w:rsid w:val="6FAD3A5C"/>
    <w:rsid w:val="6FBB1329"/>
    <w:rsid w:val="6FCD622F"/>
    <w:rsid w:val="6FD17670"/>
    <w:rsid w:val="6FDE1AE6"/>
    <w:rsid w:val="6FEC0627"/>
    <w:rsid w:val="6FF51D5F"/>
    <w:rsid w:val="700B152D"/>
    <w:rsid w:val="701669AB"/>
    <w:rsid w:val="702A788D"/>
    <w:rsid w:val="703C082D"/>
    <w:rsid w:val="704D248E"/>
    <w:rsid w:val="70673CA5"/>
    <w:rsid w:val="706C0F27"/>
    <w:rsid w:val="706C4F2C"/>
    <w:rsid w:val="706D28FB"/>
    <w:rsid w:val="707A2905"/>
    <w:rsid w:val="709047B3"/>
    <w:rsid w:val="709A11EE"/>
    <w:rsid w:val="70AA2B7C"/>
    <w:rsid w:val="70B90D0B"/>
    <w:rsid w:val="70BB41B4"/>
    <w:rsid w:val="70C5306E"/>
    <w:rsid w:val="70CC6FC4"/>
    <w:rsid w:val="70D141D8"/>
    <w:rsid w:val="70D35C01"/>
    <w:rsid w:val="70F835DB"/>
    <w:rsid w:val="70F916D0"/>
    <w:rsid w:val="71041601"/>
    <w:rsid w:val="710A1F57"/>
    <w:rsid w:val="710B35F3"/>
    <w:rsid w:val="710F7BB5"/>
    <w:rsid w:val="71170058"/>
    <w:rsid w:val="71352DB5"/>
    <w:rsid w:val="713771F4"/>
    <w:rsid w:val="71416633"/>
    <w:rsid w:val="71422C39"/>
    <w:rsid w:val="71442E99"/>
    <w:rsid w:val="71444B38"/>
    <w:rsid w:val="71836742"/>
    <w:rsid w:val="719F7F07"/>
    <w:rsid w:val="71A74D07"/>
    <w:rsid w:val="71AA278B"/>
    <w:rsid w:val="71B625A7"/>
    <w:rsid w:val="71BE54B9"/>
    <w:rsid w:val="71C35141"/>
    <w:rsid w:val="71DE09D3"/>
    <w:rsid w:val="71EA446A"/>
    <w:rsid w:val="71F005F1"/>
    <w:rsid w:val="72073580"/>
    <w:rsid w:val="720F1861"/>
    <w:rsid w:val="721861BF"/>
    <w:rsid w:val="721B4332"/>
    <w:rsid w:val="721C2603"/>
    <w:rsid w:val="72237292"/>
    <w:rsid w:val="722530D6"/>
    <w:rsid w:val="722A1637"/>
    <w:rsid w:val="72460488"/>
    <w:rsid w:val="724B03BC"/>
    <w:rsid w:val="72514162"/>
    <w:rsid w:val="7253167E"/>
    <w:rsid w:val="72572400"/>
    <w:rsid w:val="725B243F"/>
    <w:rsid w:val="725C34E8"/>
    <w:rsid w:val="725E4B56"/>
    <w:rsid w:val="728416B3"/>
    <w:rsid w:val="728765F5"/>
    <w:rsid w:val="72A965FF"/>
    <w:rsid w:val="72C77378"/>
    <w:rsid w:val="72C921D2"/>
    <w:rsid w:val="72CC137A"/>
    <w:rsid w:val="72CE0A7E"/>
    <w:rsid w:val="72D11E30"/>
    <w:rsid w:val="72D760E4"/>
    <w:rsid w:val="72DF1F27"/>
    <w:rsid w:val="72E708DE"/>
    <w:rsid w:val="72ED175B"/>
    <w:rsid w:val="72EE2610"/>
    <w:rsid w:val="72F24861"/>
    <w:rsid w:val="72F43005"/>
    <w:rsid w:val="72FB5BD6"/>
    <w:rsid w:val="73117ADF"/>
    <w:rsid w:val="73123CB6"/>
    <w:rsid w:val="73247535"/>
    <w:rsid w:val="73256EBA"/>
    <w:rsid w:val="732621B2"/>
    <w:rsid w:val="73302526"/>
    <w:rsid w:val="7337F5CD"/>
    <w:rsid w:val="73574973"/>
    <w:rsid w:val="735A08F6"/>
    <w:rsid w:val="73626CB0"/>
    <w:rsid w:val="736D07C3"/>
    <w:rsid w:val="736F70F0"/>
    <w:rsid w:val="737110E2"/>
    <w:rsid w:val="7376063E"/>
    <w:rsid w:val="737B195B"/>
    <w:rsid w:val="738369E5"/>
    <w:rsid w:val="738C2B12"/>
    <w:rsid w:val="73992C1A"/>
    <w:rsid w:val="739C7BFD"/>
    <w:rsid w:val="73A03D15"/>
    <w:rsid w:val="73A07BB3"/>
    <w:rsid w:val="73AB2D19"/>
    <w:rsid w:val="73AC1DE9"/>
    <w:rsid w:val="73BD5E0D"/>
    <w:rsid w:val="73C457F0"/>
    <w:rsid w:val="73E14E6A"/>
    <w:rsid w:val="73E933FE"/>
    <w:rsid w:val="73EF2B75"/>
    <w:rsid w:val="7405079E"/>
    <w:rsid w:val="740D719E"/>
    <w:rsid w:val="741642CE"/>
    <w:rsid w:val="74165C12"/>
    <w:rsid w:val="74372888"/>
    <w:rsid w:val="74443518"/>
    <w:rsid w:val="74476501"/>
    <w:rsid w:val="74535FBD"/>
    <w:rsid w:val="74627337"/>
    <w:rsid w:val="74637988"/>
    <w:rsid w:val="74645770"/>
    <w:rsid w:val="746459A7"/>
    <w:rsid w:val="74694034"/>
    <w:rsid w:val="746B5632"/>
    <w:rsid w:val="747148F0"/>
    <w:rsid w:val="747D7B5B"/>
    <w:rsid w:val="74901D14"/>
    <w:rsid w:val="749023F8"/>
    <w:rsid w:val="74904441"/>
    <w:rsid w:val="749D2B8E"/>
    <w:rsid w:val="74A532BA"/>
    <w:rsid w:val="74AF2397"/>
    <w:rsid w:val="74B66BE9"/>
    <w:rsid w:val="74C4588A"/>
    <w:rsid w:val="74CA17CB"/>
    <w:rsid w:val="74D07F89"/>
    <w:rsid w:val="74D30985"/>
    <w:rsid w:val="74D86C6C"/>
    <w:rsid w:val="74E61C22"/>
    <w:rsid w:val="74EC052B"/>
    <w:rsid w:val="75052E5E"/>
    <w:rsid w:val="750770C9"/>
    <w:rsid w:val="75261BDB"/>
    <w:rsid w:val="753B3B18"/>
    <w:rsid w:val="75445E5A"/>
    <w:rsid w:val="756733A7"/>
    <w:rsid w:val="757012BD"/>
    <w:rsid w:val="75781930"/>
    <w:rsid w:val="757B0FD1"/>
    <w:rsid w:val="75817E02"/>
    <w:rsid w:val="75832DC6"/>
    <w:rsid w:val="75864FE8"/>
    <w:rsid w:val="759A29F2"/>
    <w:rsid w:val="759F489D"/>
    <w:rsid w:val="75A007C2"/>
    <w:rsid w:val="75A55438"/>
    <w:rsid w:val="75B85973"/>
    <w:rsid w:val="75D579B8"/>
    <w:rsid w:val="75ED2F19"/>
    <w:rsid w:val="75F238F7"/>
    <w:rsid w:val="75F9671F"/>
    <w:rsid w:val="75FF258C"/>
    <w:rsid w:val="760203A7"/>
    <w:rsid w:val="7616430E"/>
    <w:rsid w:val="761C209A"/>
    <w:rsid w:val="76221449"/>
    <w:rsid w:val="76235770"/>
    <w:rsid w:val="76275BC0"/>
    <w:rsid w:val="7634335B"/>
    <w:rsid w:val="763978B0"/>
    <w:rsid w:val="763B3092"/>
    <w:rsid w:val="76461E29"/>
    <w:rsid w:val="764D505A"/>
    <w:rsid w:val="76606984"/>
    <w:rsid w:val="76607B20"/>
    <w:rsid w:val="766118E7"/>
    <w:rsid w:val="766A04CB"/>
    <w:rsid w:val="767204A0"/>
    <w:rsid w:val="76766598"/>
    <w:rsid w:val="76804F8B"/>
    <w:rsid w:val="7683608C"/>
    <w:rsid w:val="76997568"/>
    <w:rsid w:val="76A67779"/>
    <w:rsid w:val="76AC36ED"/>
    <w:rsid w:val="76AF104D"/>
    <w:rsid w:val="76B55609"/>
    <w:rsid w:val="76BA1830"/>
    <w:rsid w:val="76BF3506"/>
    <w:rsid w:val="76C37D09"/>
    <w:rsid w:val="76CB4040"/>
    <w:rsid w:val="76D35063"/>
    <w:rsid w:val="76E10E97"/>
    <w:rsid w:val="76FE05BB"/>
    <w:rsid w:val="77052979"/>
    <w:rsid w:val="77082A35"/>
    <w:rsid w:val="770F3B4B"/>
    <w:rsid w:val="77135476"/>
    <w:rsid w:val="7715103D"/>
    <w:rsid w:val="7716433E"/>
    <w:rsid w:val="771C396F"/>
    <w:rsid w:val="77232432"/>
    <w:rsid w:val="772D050C"/>
    <w:rsid w:val="77455C26"/>
    <w:rsid w:val="774C1500"/>
    <w:rsid w:val="775425C7"/>
    <w:rsid w:val="776559B3"/>
    <w:rsid w:val="776D7E1E"/>
    <w:rsid w:val="77757A28"/>
    <w:rsid w:val="77915D2F"/>
    <w:rsid w:val="779F2858"/>
    <w:rsid w:val="77AA64C1"/>
    <w:rsid w:val="77C4045D"/>
    <w:rsid w:val="77CF2659"/>
    <w:rsid w:val="77D6453D"/>
    <w:rsid w:val="77E458C9"/>
    <w:rsid w:val="77EE5258"/>
    <w:rsid w:val="77F15C04"/>
    <w:rsid w:val="77F345C6"/>
    <w:rsid w:val="77F80FB3"/>
    <w:rsid w:val="78081969"/>
    <w:rsid w:val="780837B3"/>
    <w:rsid w:val="782021DB"/>
    <w:rsid w:val="783B448C"/>
    <w:rsid w:val="784D133E"/>
    <w:rsid w:val="785D547A"/>
    <w:rsid w:val="78816912"/>
    <w:rsid w:val="7886438B"/>
    <w:rsid w:val="788A04B5"/>
    <w:rsid w:val="788A4478"/>
    <w:rsid w:val="789776B3"/>
    <w:rsid w:val="78985626"/>
    <w:rsid w:val="78A569E9"/>
    <w:rsid w:val="78A76584"/>
    <w:rsid w:val="78AB1419"/>
    <w:rsid w:val="78B835CA"/>
    <w:rsid w:val="78CA79FD"/>
    <w:rsid w:val="78D556EB"/>
    <w:rsid w:val="78E27011"/>
    <w:rsid w:val="78F2330B"/>
    <w:rsid w:val="78F46FBD"/>
    <w:rsid w:val="78FB6108"/>
    <w:rsid w:val="7905132E"/>
    <w:rsid w:val="79072598"/>
    <w:rsid w:val="791143ED"/>
    <w:rsid w:val="7923302B"/>
    <w:rsid w:val="79331791"/>
    <w:rsid w:val="79332BA6"/>
    <w:rsid w:val="79353DB9"/>
    <w:rsid w:val="793F3FA9"/>
    <w:rsid w:val="794A076C"/>
    <w:rsid w:val="79514CD8"/>
    <w:rsid w:val="796658A5"/>
    <w:rsid w:val="797B483E"/>
    <w:rsid w:val="797C21E3"/>
    <w:rsid w:val="798A6C54"/>
    <w:rsid w:val="798E2864"/>
    <w:rsid w:val="79A60823"/>
    <w:rsid w:val="79B47359"/>
    <w:rsid w:val="79CF12F4"/>
    <w:rsid w:val="79D5332D"/>
    <w:rsid w:val="79D76ED7"/>
    <w:rsid w:val="79DC7A86"/>
    <w:rsid w:val="79EF72E7"/>
    <w:rsid w:val="79FE1DB6"/>
    <w:rsid w:val="7A007275"/>
    <w:rsid w:val="7A014FAE"/>
    <w:rsid w:val="7A041D15"/>
    <w:rsid w:val="7A04251D"/>
    <w:rsid w:val="7A09697C"/>
    <w:rsid w:val="7A0A5248"/>
    <w:rsid w:val="7A0F4201"/>
    <w:rsid w:val="7A164E75"/>
    <w:rsid w:val="7A1C68E5"/>
    <w:rsid w:val="7A260C36"/>
    <w:rsid w:val="7A2D7389"/>
    <w:rsid w:val="7A2E1C16"/>
    <w:rsid w:val="7A2E745B"/>
    <w:rsid w:val="7A3E1A4E"/>
    <w:rsid w:val="7A3E6F11"/>
    <w:rsid w:val="7A55311A"/>
    <w:rsid w:val="7A5867B7"/>
    <w:rsid w:val="7A5970EE"/>
    <w:rsid w:val="7A716157"/>
    <w:rsid w:val="7A8311E4"/>
    <w:rsid w:val="7A831FE3"/>
    <w:rsid w:val="7A8C6CAE"/>
    <w:rsid w:val="7AB22F93"/>
    <w:rsid w:val="7AC13A25"/>
    <w:rsid w:val="7AC618B7"/>
    <w:rsid w:val="7ACD7D5E"/>
    <w:rsid w:val="7AD82546"/>
    <w:rsid w:val="7AF00FA5"/>
    <w:rsid w:val="7B097DBB"/>
    <w:rsid w:val="7B0D0430"/>
    <w:rsid w:val="7B197881"/>
    <w:rsid w:val="7B1C1170"/>
    <w:rsid w:val="7B295B3B"/>
    <w:rsid w:val="7B3B28CA"/>
    <w:rsid w:val="7B3C17E9"/>
    <w:rsid w:val="7B434735"/>
    <w:rsid w:val="7B524AB5"/>
    <w:rsid w:val="7B6D6A2E"/>
    <w:rsid w:val="7B70522F"/>
    <w:rsid w:val="7B726352"/>
    <w:rsid w:val="7B757418"/>
    <w:rsid w:val="7B9F4B28"/>
    <w:rsid w:val="7BAA489A"/>
    <w:rsid w:val="7BB548DB"/>
    <w:rsid w:val="7BBC103E"/>
    <w:rsid w:val="7BCB6DEE"/>
    <w:rsid w:val="7BCE3670"/>
    <w:rsid w:val="7BD91132"/>
    <w:rsid w:val="7BE04AAC"/>
    <w:rsid w:val="7BE173BA"/>
    <w:rsid w:val="7BE82CE1"/>
    <w:rsid w:val="7BEB3A27"/>
    <w:rsid w:val="7BFE75AD"/>
    <w:rsid w:val="7C0578D5"/>
    <w:rsid w:val="7C0E36E8"/>
    <w:rsid w:val="7C207FBA"/>
    <w:rsid w:val="7C211C6A"/>
    <w:rsid w:val="7C237407"/>
    <w:rsid w:val="7C305594"/>
    <w:rsid w:val="7C325EE4"/>
    <w:rsid w:val="7C384B11"/>
    <w:rsid w:val="7C427A8E"/>
    <w:rsid w:val="7C5106EF"/>
    <w:rsid w:val="7C5A077D"/>
    <w:rsid w:val="7C624229"/>
    <w:rsid w:val="7C782883"/>
    <w:rsid w:val="7C81517E"/>
    <w:rsid w:val="7C8507A3"/>
    <w:rsid w:val="7C87515A"/>
    <w:rsid w:val="7C97613E"/>
    <w:rsid w:val="7C980E9B"/>
    <w:rsid w:val="7C9A77CF"/>
    <w:rsid w:val="7C9F13AE"/>
    <w:rsid w:val="7CA02776"/>
    <w:rsid w:val="7CA47F51"/>
    <w:rsid w:val="7CAB496C"/>
    <w:rsid w:val="7CAC79DF"/>
    <w:rsid w:val="7CB06853"/>
    <w:rsid w:val="7CC16A4B"/>
    <w:rsid w:val="7CC568F6"/>
    <w:rsid w:val="7CE25E40"/>
    <w:rsid w:val="7CE55706"/>
    <w:rsid w:val="7CEB1FB0"/>
    <w:rsid w:val="7CEB30AE"/>
    <w:rsid w:val="7CEE0B51"/>
    <w:rsid w:val="7D022D1A"/>
    <w:rsid w:val="7D05446C"/>
    <w:rsid w:val="7D0D0814"/>
    <w:rsid w:val="7D24041F"/>
    <w:rsid w:val="7D2F4926"/>
    <w:rsid w:val="7D42394B"/>
    <w:rsid w:val="7D443670"/>
    <w:rsid w:val="7D447D12"/>
    <w:rsid w:val="7D452970"/>
    <w:rsid w:val="7D5C6DA5"/>
    <w:rsid w:val="7D5E56F2"/>
    <w:rsid w:val="7D644C90"/>
    <w:rsid w:val="7D64685B"/>
    <w:rsid w:val="7D687D5A"/>
    <w:rsid w:val="7D735DA1"/>
    <w:rsid w:val="7D7B4EA4"/>
    <w:rsid w:val="7D883D74"/>
    <w:rsid w:val="7D8A09AF"/>
    <w:rsid w:val="7D942F1D"/>
    <w:rsid w:val="7DA0546A"/>
    <w:rsid w:val="7DB87EED"/>
    <w:rsid w:val="7DBA6CBA"/>
    <w:rsid w:val="7DBE6A9E"/>
    <w:rsid w:val="7DC6321E"/>
    <w:rsid w:val="7DC808D3"/>
    <w:rsid w:val="7DD54E8C"/>
    <w:rsid w:val="7DD815FB"/>
    <w:rsid w:val="7DEC7839"/>
    <w:rsid w:val="7DF34442"/>
    <w:rsid w:val="7DF92A87"/>
    <w:rsid w:val="7E114C6E"/>
    <w:rsid w:val="7E1168EF"/>
    <w:rsid w:val="7E192694"/>
    <w:rsid w:val="7E2F2059"/>
    <w:rsid w:val="7E414C05"/>
    <w:rsid w:val="7E415713"/>
    <w:rsid w:val="7E586281"/>
    <w:rsid w:val="7E5A5727"/>
    <w:rsid w:val="7E60114C"/>
    <w:rsid w:val="7E65596A"/>
    <w:rsid w:val="7E737565"/>
    <w:rsid w:val="7E7E44C3"/>
    <w:rsid w:val="7E836287"/>
    <w:rsid w:val="7E8F7D13"/>
    <w:rsid w:val="7EA354B6"/>
    <w:rsid w:val="7EB07454"/>
    <w:rsid w:val="7EB106F0"/>
    <w:rsid w:val="7EBF2ECF"/>
    <w:rsid w:val="7EBF39D9"/>
    <w:rsid w:val="7EBF62A0"/>
    <w:rsid w:val="7EC42D5C"/>
    <w:rsid w:val="7ECA209D"/>
    <w:rsid w:val="7ECA528B"/>
    <w:rsid w:val="7ECC6181"/>
    <w:rsid w:val="7ED30E87"/>
    <w:rsid w:val="7EDC2C5C"/>
    <w:rsid w:val="7EDD1A8D"/>
    <w:rsid w:val="7EE06801"/>
    <w:rsid w:val="7EE446B0"/>
    <w:rsid w:val="7F001602"/>
    <w:rsid w:val="7F013F26"/>
    <w:rsid w:val="7F0C030F"/>
    <w:rsid w:val="7F1D5E86"/>
    <w:rsid w:val="7F2409E2"/>
    <w:rsid w:val="7F25736B"/>
    <w:rsid w:val="7F27252F"/>
    <w:rsid w:val="7F2E09B3"/>
    <w:rsid w:val="7F3047BF"/>
    <w:rsid w:val="7F3B5044"/>
    <w:rsid w:val="7F3C150E"/>
    <w:rsid w:val="7F4C76A7"/>
    <w:rsid w:val="7F504E70"/>
    <w:rsid w:val="7F5B083F"/>
    <w:rsid w:val="7F5C4924"/>
    <w:rsid w:val="7F662A4A"/>
    <w:rsid w:val="7F800DAA"/>
    <w:rsid w:val="7F804E48"/>
    <w:rsid w:val="7F87285C"/>
    <w:rsid w:val="7F874D86"/>
    <w:rsid w:val="7F8E0691"/>
    <w:rsid w:val="7F971925"/>
    <w:rsid w:val="7F9A302A"/>
    <w:rsid w:val="7FB56B36"/>
    <w:rsid w:val="7FC45A60"/>
    <w:rsid w:val="7FCC0422"/>
    <w:rsid w:val="7FD849A3"/>
    <w:rsid w:val="7FDD2BD0"/>
    <w:rsid w:val="7FEE3376"/>
    <w:rsid w:val="7FF22DFC"/>
    <w:rsid w:val="7FF70EF5"/>
    <w:rsid w:val="7FFC761A"/>
    <w:rsid w:val="AFE9EC6D"/>
    <w:rsid w:val="BE6F5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8"/>
    <w:qFormat/>
    <w:uiPriority w:val="9"/>
    <w:pPr>
      <w:keepNext/>
      <w:keepLines/>
      <w:spacing w:afterLines="50" w:line="360" w:lineRule="auto"/>
      <w:jc w:val="center"/>
      <w:outlineLvl w:val="0"/>
    </w:pPr>
    <w:rPr>
      <w:rFonts w:ascii="Times New Roman" w:hAnsi="Times New Roman" w:eastAsia="黑体"/>
      <w:bCs/>
      <w:snapToGrid w:val="0"/>
      <w:kern w:val="0"/>
      <w:sz w:val="36"/>
      <w:szCs w:val="44"/>
    </w:rPr>
  </w:style>
  <w:style w:type="paragraph" w:styleId="5">
    <w:name w:val="heading 2"/>
    <w:basedOn w:val="1"/>
    <w:next w:val="1"/>
    <w:link w:val="32"/>
    <w:unhideWhenUsed/>
    <w:qFormat/>
    <w:uiPriority w:val="9"/>
    <w:pPr>
      <w:keepNext/>
      <w:keepLines/>
      <w:spacing w:beforeLines="50" w:afterLines="50" w:line="360" w:lineRule="auto"/>
      <w:ind w:firstLine="640" w:firstLineChars="200"/>
      <w:outlineLvl w:val="1"/>
    </w:pPr>
    <w:rPr>
      <w:rFonts w:ascii="Times New Roman" w:hAnsi="Times New Roman" w:eastAsia="黑体"/>
      <w:bCs/>
      <w:kern w:val="0"/>
      <w:sz w:val="32"/>
      <w:szCs w:val="32"/>
    </w:rPr>
  </w:style>
  <w:style w:type="paragraph" w:styleId="6">
    <w:name w:val="heading 3"/>
    <w:basedOn w:val="1"/>
    <w:next w:val="1"/>
    <w:link w:val="30"/>
    <w:unhideWhenUsed/>
    <w:qFormat/>
    <w:uiPriority w:val="9"/>
    <w:pPr>
      <w:keepNext/>
      <w:keepLines/>
      <w:spacing w:line="360" w:lineRule="auto"/>
      <w:ind w:firstLine="640" w:firstLineChars="200"/>
      <w:outlineLvl w:val="2"/>
    </w:pPr>
    <w:rPr>
      <w:rFonts w:ascii="Times New Roman" w:hAnsi="Times New Roman" w:eastAsia="楷体"/>
      <w:bCs/>
      <w:kern w:val="0"/>
      <w:sz w:val="32"/>
      <w:szCs w:val="32"/>
    </w:rPr>
  </w:style>
  <w:style w:type="paragraph" w:styleId="7">
    <w:name w:val="heading 4"/>
    <w:basedOn w:val="1"/>
    <w:next w:val="1"/>
    <w:link w:val="33"/>
    <w:unhideWhenUsed/>
    <w:qFormat/>
    <w:uiPriority w:val="9"/>
    <w:pPr>
      <w:keepNext/>
      <w:keepLines/>
      <w:spacing w:before="280" w:after="290" w:line="376" w:lineRule="auto"/>
      <w:outlineLvl w:val="3"/>
    </w:pPr>
    <w:rPr>
      <w:rFonts w:ascii="Cambria" w:hAnsi="Cambria" w:eastAsia="Times New Roman"/>
      <w:b/>
      <w:bCs/>
      <w:kern w:val="0"/>
      <w:sz w:val="32"/>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3"/>
    <w:link w:val="40"/>
    <w:qFormat/>
    <w:uiPriority w:val="10"/>
    <w:pPr>
      <w:spacing w:afterLines="50"/>
      <w:jc w:val="center"/>
      <w:outlineLvl w:val="0"/>
    </w:pPr>
    <w:rPr>
      <w:rFonts w:ascii="Times New Roman" w:hAnsi="Times New Roman" w:eastAsia="华文中宋"/>
      <w:b/>
      <w:bCs/>
      <w:kern w:val="0"/>
      <w:sz w:val="48"/>
      <w:szCs w:val="32"/>
    </w:rPr>
  </w:style>
  <w:style w:type="paragraph" w:styleId="3">
    <w:name w:val="Body Text Indent"/>
    <w:basedOn w:val="1"/>
    <w:next w:val="1"/>
    <w:qFormat/>
    <w:uiPriority w:val="0"/>
    <w:pPr>
      <w:spacing w:after="120"/>
      <w:ind w:left="420" w:leftChars="200"/>
    </w:pPr>
  </w:style>
  <w:style w:type="paragraph" w:styleId="8">
    <w:name w:val="Document Map"/>
    <w:basedOn w:val="1"/>
    <w:link w:val="44"/>
    <w:semiHidden/>
    <w:unhideWhenUsed/>
    <w:qFormat/>
    <w:uiPriority w:val="99"/>
    <w:pPr>
      <w:spacing w:line="360" w:lineRule="auto"/>
      <w:ind w:firstLine="200" w:firstLineChars="200"/>
    </w:pPr>
    <w:rPr>
      <w:rFonts w:ascii="宋体" w:hAnsi="Times New Roman"/>
      <w:sz w:val="18"/>
      <w:szCs w:val="18"/>
    </w:rPr>
  </w:style>
  <w:style w:type="paragraph" w:styleId="9">
    <w:name w:val="annotation text"/>
    <w:basedOn w:val="1"/>
    <w:link w:val="34"/>
    <w:semiHidden/>
    <w:unhideWhenUsed/>
    <w:qFormat/>
    <w:uiPriority w:val="99"/>
    <w:pPr>
      <w:spacing w:line="360" w:lineRule="auto"/>
      <w:ind w:firstLine="200" w:firstLineChars="200"/>
      <w:jc w:val="left"/>
    </w:pPr>
    <w:rPr>
      <w:rFonts w:ascii="Times New Roman" w:hAnsi="Times New Roman" w:eastAsia="仿宋_GB2312"/>
      <w:sz w:val="32"/>
      <w:szCs w:val="20"/>
    </w:rPr>
  </w:style>
  <w:style w:type="paragraph" w:styleId="10">
    <w:name w:val="Body Text"/>
    <w:basedOn w:val="1"/>
    <w:qFormat/>
    <w:uiPriority w:val="0"/>
    <w:pPr>
      <w:numPr>
        <w:ilvl w:val="0"/>
        <w:numId w:val="1"/>
      </w:numPr>
      <w:spacing w:after="120"/>
    </w:pPr>
    <w:rPr>
      <w:rFonts w:ascii="Calibri" w:hAnsi="Calibri"/>
      <w:szCs w:val="22"/>
    </w:rPr>
  </w:style>
  <w:style w:type="paragraph" w:styleId="11">
    <w:name w:val="toc 3"/>
    <w:basedOn w:val="1"/>
    <w:next w:val="1"/>
    <w:semiHidden/>
    <w:unhideWhenUsed/>
    <w:qFormat/>
    <w:uiPriority w:val="39"/>
    <w:pPr>
      <w:ind w:left="840" w:leftChars="400"/>
    </w:pPr>
  </w:style>
  <w:style w:type="paragraph" w:styleId="12">
    <w:name w:val="Balloon Text"/>
    <w:basedOn w:val="1"/>
    <w:link w:val="37"/>
    <w:semiHidden/>
    <w:unhideWhenUsed/>
    <w:qFormat/>
    <w:uiPriority w:val="99"/>
    <w:pPr>
      <w:spacing w:line="360" w:lineRule="auto"/>
      <w:ind w:firstLine="200" w:firstLineChars="200"/>
    </w:pPr>
    <w:rPr>
      <w:rFonts w:ascii="Times New Roman" w:hAnsi="Times New Roman" w:eastAsia="仿宋_GB2312"/>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42"/>
    <w:qFormat/>
    <w:uiPriority w:val="11"/>
    <w:pPr>
      <w:spacing w:before="240" w:after="60" w:line="312" w:lineRule="auto"/>
      <w:jc w:val="center"/>
      <w:outlineLvl w:val="1"/>
    </w:pPr>
    <w:rPr>
      <w:rFonts w:ascii="Cambria" w:hAnsi="Cambria" w:eastAsia="华文中宋"/>
      <w:b/>
      <w:bCs/>
      <w:kern w:val="28"/>
      <w:sz w:val="48"/>
      <w:szCs w:val="32"/>
    </w:rPr>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spacing w:before="100" w:beforeAutospacing="1" w:after="100" w:afterAutospacing="1" w:line="360" w:lineRule="auto"/>
      <w:ind w:firstLine="200" w:firstLineChars="200"/>
      <w:jc w:val="left"/>
    </w:pPr>
    <w:rPr>
      <w:rFonts w:ascii="宋体" w:hAnsi="宋体" w:eastAsia="仿宋_GB2312" w:cs="宋体"/>
      <w:kern w:val="0"/>
      <w:sz w:val="24"/>
      <w:szCs w:val="24"/>
    </w:rPr>
  </w:style>
  <w:style w:type="paragraph" w:styleId="19">
    <w:name w:val="annotation subject"/>
    <w:basedOn w:val="9"/>
    <w:next w:val="9"/>
    <w:link w:val="35"/>
    <w:semiHidden/>
    <w:unhideWhenUsed/>
    <w:qFormat/>
    <w:uiPriority w:val="99"/>
    <w:rPr>
      <w:b/>
      <w:bCs/>
    </w:rPr>
  </w:style>
  <w:style w:type="character" w:styleId="22">
    <w:name w:val="FollowedHyperlink"/>
    <w:basedOn w:val="21"/>
    <w:semiHidden/>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semiHidden/>
    <w:unhideWhenUsed/>
    <w:qFormat/>
    <w:uiPriority w:val="99"/>
    <w:rPr>
      <w:sz w:val="21"/>
      <w:szCs w:val="21"/>
    </w:rPr>
  </w:style>
  <w:style w:type="character" w:customStyle="1" w:styleId="25">
    <w:name w:val="页脚 Char"/>
    <w:link w:val="13"/>
    <w:qFormat/>
    <w:uiPriority w:val="99"/>
    <w:rPr>
      <w:kern w:val="2"/>
      <w:sz w:val="18"/>
      <w:szCs w:val="18"/>
    </w:rPr>
  </w:style>
  <w:style w:type="character" w:customStyle="1" w:styleId="26">
    <w:name w:val="页眉 Char"/>
    <w:link w:val="14"/>
    <w:qFormat/>
    <w:uiPriority w:val="99"/>
    <w:rPr>
      <w:kern w:val="2"/>
      <w:sz w:val="18"/>
      <w:szCs w:val="18"/>
    </w:rPr>
  </w:style>
  <w:style w:type="paragraph" w:customStyle="1" w:styleId="27">
    <w:name w:val="样式1"/>
    <w:basedOn w:val="1"/>
    <w:qFormat/>
    <w:uiPriority w:val="0"/>
    <w:pPr>
      <w:jc w:val="left"/>
    </w:pPr>
    <w:rPr>
      <w:rFonts w:ascii="仿宋_GB2312" w:hAnsi="Times New Roman" w:eastAsia="仿宋_GB2312"/>
      <w:sz w:val="28"/>
      <w:szCs w:val="24"/>
    </w:rPr>
  </w:style>
  <w:style w:type="character" w:customStyle="1" w:styleId="28">
    <w:name w:val="标题 1 Char"/>
    <w:link w:val="4"/>
    <w:qFormat/>
    <w:uiPriority w:val="9"/>
    <w:rPr>
      <w:rFonts w:ascii="Times New Roman" w:hAnsi="Times New Roman" w:eastAsia="黑体"/>
      <w:bCs/>
      <w:snapToGrid w:val="0"/>
      <w:sz w:val="36"/>
      <w:szCs w:val="44"/>
    </w:rPr>
  </w:style>
  <w:style w:type="paragraph" w:customStyle="1" w:styleId="29">
    <w:name w:val="标题 21"/>
    <w:basedOn w:val="1"/>
    <w:next w:val="1"/>
    <w:unhideWhenUsed/>
    <w:qFormat/>
    <w:uiPriority w:val="9"/>
    <w:pPr>
      <w:keepNext/>
      <w:keepLines/>
      <w:spacing w:line="360" w:lineRule="auto"/>
      <w:ind w:firstLine="200" w:firstLineChars="200"/>
      <w:outlineLvl w:val="1"/>
    </w:pPr>
    <w:rPr>
      <w:rFonts w:ascii="Cambria" w:hAnsi="Cambria" w:eastAsia="黑体"/>
      <w:bCs/>
      <w:sz w:val="32"/>
      <w:szCs w:val="32"/>
    </w:rPr>
  </w:style>
  <w:style w:type="character" w:customStyle="1" w:styleId="30">
    <w:name w:val="标题 3 Char"/>
    <w:link w:val="6"/>
    <w:qFormat/>
    <w:uiPriority w:val="9"/>
    <w:rPr>
      <w:rFonts w:ascii="Times New Roman" w:hAnsi="Times New Roman" w:eastAsia="楷体"/>
      <w:bCs/>
      <w:sz w:val="32"/>
      <w:szCs w:val="32"/>
    </w:rPr>
  </w:style>
  <w:style w:type="paragraph" w:customStyle="1" w:styleId="31">
    <w:name w:val="标题 41"/>
    <w:basedOn w:val="1"/>
    <w:next w:val="1"/>
    <w:unhideWhenUsed/>
    <w:qFormat/>
    <w:uiPriority w:val="9"/>
    <w:pPr>
      <w:keepNext/>
      <w:keepLines/>
      <w:jc w:val="center"/>
      <w:outlineLvl w:val="3"/>
    </w:pPr>
    <w:rPr>
      <w:rFonts w:ascii="Cambria" w:hAnsi="Cambria" w:eastAsia="Times New Roman"/>
      <w:b/>
      <w:bCs/>
      <w:sz w:val="32"/>
      <w:szCs w:val="28"/>
    </w:rPr>
  </w:style>
  <w:style w:type="character" w:customStyle="1" w:styleId="32">
    <w:name w:val="标题 2 Char"/>
    <w:link w:val="5"/>
    <w:qFormat/>
    <w:uiPriority w:val="9"/>
    <w:rPr>
      <w:rFonts w:ascii="Times New Roman" w:hAnsi="Times New Roman" w:eastAsia="黑体"/>
      <w:bCs/>
      <w:sz w:val="32"/>
      <w:szCs w:val="32"/>
    </w:rPr>
  </w:style>
  <w:style w:type="character" w:customStyle="1" w:styleId="33">
    <w:name w:val="标题 4 Char"/>
    <w:link w:val="7"/>
    <w:qFormat/>
    <w:uiPriority w:val="9"/>
    <w:rPr>
      <w:rFonts w:ascii="Cambria" w:hAnsi="Cambria" w:eastAsia="Times New Roman" w:cs="Times New Roman"/>
      <w:b/>
      <w:bCs/>
      <w:sz w:val="32"/>
      <w:szCs w:val="28"/>
    </w:rPr>
  </w:style>
  <w:style w:type="character" w:customStyle="1" w:styleId="34">
    <w:name w:val="批注文字 Char"/>
    <w:link w:val="9"/>
    <w:semiHidden/>
    <w:qFormat/>
    <w:uiPriority w:val="99"/>
    <w:rPr>
      <w:rFonts w:ascii="Times New Roman" w:hAnsi="Times New Roman" w:eastAsia="仿宋_GB2312"/>
      <w:kern w:val="2"/>
      <w:sz w:val="32"/>
    </w:rPr>
  </w:style>
  <w:style w:type="character" w:customStyle="1" w:styleId="35">
    <w:name w:val="批注主题 Char"/>
    <w:link w:val="19"/>
    <w:semiHidden/>
    <w:qFormat/>
    <w:uiPriority w:val="99"/>
    <w:rPr>
      <w:rFonts w:ascii="Times New Roman" w:hAnsi="Times New Roman" w:eastAsia="仿宋_GB2312"/>
      <w:b/>
      <w:bCs/>
      <w:kern w:val="2"/>
      <w:sz w:val="32"/>
    </w:rPr>
  </w:style>
  <w:style w:type="paragraph" w:customStyle="1" w:styleId="36">
    <w:name w:val="修订1"/>
    <w:hidden/>
    <w:semiHidden/>
    <w:qFormat/>
    <w:uiPriority w:val="99"/>
    <w:rPr>
      <w:rFonts w:ascii="Times New Roman" w:hAnsi="Times New Roman" w:eastAsia="宋体" w:cs="Times New Roman"/>
      <w:kern w:val="2"/>
      <w:sz w:val="21"/>
      <w:lang w:val="en-US" w:eastAsia="zh-CN" w:bidi="ar-SA"/>
    </w:rPr>
  </w:style>
  <w:style w:type="character" w:customStyle="1" w:styleId="37">
    <w:name w:val="批注框文本 Char"/>
    <w:link w:val="12"/>
    <w:semiHidden/>
    <w:qFormat/>
    <w:uiPriority w:val="99"/>
    <w:rPr>
      <w:rFonts w:ascii="Times New Roman" w:hAnsi="Times New Roman" w:eastAsia="仿宋_GB2312"/>
      <w:kern w:val="2"/>
      <w:sz w:val="18"/>
      <w:szCs w:val="18"/>
    </w:rPr>
  </w:style>
  <w:style w:type="paragraph" w:styleId="38">
    <w:name w:val="No Spacing"/>
    <w:qFormat/>
    <w:uiPriority w:val="1"/>
    <w:pPr>
      <w:widowControl w:val="0"/>
      <w:spacing w:beforeLines="50" w:afterLines="50"/>
      <w:ind w:firstLine="200" w:firstLineChars="200"/>
      <w:jc w:val="both"/>
    </w:pPr>
    <w:rPr>
      <w:rFonts w:ascii="Times New Roman" w:hAnsi="Times New Roman" w:eastAsia="仿宋_GB2312" w:cs="Times New Roman"/>
      <w:kern w:val="2"/>
      <w:sz w:val="32"/>
      <w:lang w:val="en-US" w:eastAsia="zh-CN" w:bidi="ar-SA"/>
    </w:rPr>
  </w:style>
  <w:style w:type="paragraph" w:customStyle="1" w:styleId="39">
    <w:name w:val="标题1"/>
    <w:basedOn w:val="1"/>
    <w:next w:val="1"/>
    <w:qFormat/>
    <w:uiPriority w:val="10"/>
    <w:pPr>
      <w:ind w:firstLine="200" w:firstLineChars="200"/>
      <w:jc w:val="left"/>
      <w:outlineLvl w:val="0"/>
    </w:pPr>
    <w:rPr>
      <w:rFonts w:ascii="Times New Roman" w:hAnsi="Times New Roman" w:eastAsia="黑体"/>
      <w:bCs/>
      <w:sz w:val="36"/>
      <w:szCs w:val="32"/>
    </w:rPr>
  </w:style>
  <w:style w:type="character" w:customStyle="1" w:styleId="40">
    <w:name w:val="标题 Char"/>
    <w:link w:val="2"/>
    <w:qFormat/>
    <w:uiPriority w:val="10"/>
    <w:rPr>
      <w:rFonts w:ascii="Times New Roman" w:hAnsi="Times New Roman" w:eastAsia="华文中宋"/>
      <w:b/>
      <w:bCs/>
      <w:sz w:val="48"/>
      <w:szCs w:val="32"/>
    </w:rPr>
  </w:style>
  <w:style w:type="paragraph" w:customStyle="1" w:styleId="41">
    <w:name w:val="副标题1"/>
    <w:basedOn w:val="1"/>
    <w:next w:val="1"/>
    <w:qFormat/>
    <w:uiPriority w:val="11"/>
    <w:pPr>
      <w:spacing w:after="120"/>
      <w:ind w:firstLine="200" w:firstLineChars="200"/>
      <w:jc w:val="center"/>
      <w:outlineLvl w:val="1"/>
    </w:pPr>
    <w:rPr>
      <w:rFonts w:ascii="Cambria" w:hAnsi="Cambria" w:eastAsia="华文中宋"/>
      <w:b/>
      <w:bCs/>
      <w:kern w:val="28"/>
      <w:sz w:val="48"/>
      <w:szCs w:val="32"/>
    </w:rPr>
  </w:style>
  <w:style w:type="character" w:customStyle="1" w:styleId="42">
    <w:name w:val="副标题 Char"/>
    <w:link w:val="16"/>
    <w:qFormat/>
    <w:uiPriority w:val="11"/>
    <w:rPr>
      <w:rFonts w:ascii="Cambria" w:hAnsi="Cambria" w:eastAsia="华文中宋" w:cs="Times New Roman"/>
      <w:b/>
      <w:bCs/>
      <w:kern w:val="28"/>
      <w:sz w:val="48"/>
      <w:szCs w:val="32"/>
    </w:rPr>
  </w:style>
  <w:style w:type="character" w:customStyle="1" w:styleId="43">
    <w:name w:val="不明显强调1"/>
    <w:qFormat/>
    <w:uiPriority w:val="19"/>
    <w:rPr>
      <w:rFonts w:ascii="华文中宋" w:hAnsi="华文中宋" w:eastAsia="黑体"/>
      <w:iCs/>
      <w:color w:val="auto"/>
      <w:sz w:val="36"/>
    </w:rPr>
  </w:style>
  <w:style w:type="character" w:customStyle="1" w:styleId="44">
    <w:name w:val="文档结构图 Char"/>
    <w:link w:val="8"/>
    <w:semiHidden/>
    <w:qFormat/>
    <w:uiPriority w:val="99"/>
    <w:rPr>
      <w:rFonts w:ascii="宋体" w:hAnsi="Times New Roman"/>
      <w:kern w:val="2"/>
      <w:sz w:val="18"/>
      <w:szCs w:val="18"/>
    </w:rPr>
  </w:style>
  <w:style w:type="character" w:customStyle="1" w:styleId="45">
    <w:name w:val="访问过的超链接1"/>
    <w:semiHidden/>
    <w:unhideWhenUsed/>
    <w:qFormat/>
    <w:uiPriority w:val="99"/>
    <w:rPr>
      <w:color w:val="800080"/>
      <w:u w:val="single"/>
    </w:rPr>
  </w:style>
  <w:style w:type="paragraph" w:customStyle="1" w:styleId="46">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7"/>
    <w:basedOn w:val="1"/>
    <w:qFormat/>
    <w:uiPriority w:val="0"/>
    <w:pPr>
      <w:widowControl/>
      <w:spacing w:before="100" w:beforeAutospacing="1" w:after="100" w:afterAutospacing="1"/>
      <w:jc w:val="left"/>
    </w:pPr>
    <w:rPr>
      <w:rFonts w:ascii="Times New Roman" w:hAnsi="Times New Roman"/>
      <w:b/>
      <w:bCs/>
      <w:color w:val="000000"/>
      <w:kern w:val="0"/>
      <w:sz w:val="24"/>
      <w:szCs w:val="24"/>
    </w:rPr>
  </w:style>
  <w:style w:type="paragraph" w:customStyle="1" w:styleId="49">
    <w:name w:val="font8"/>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50">
    <w:name w:val="font9"/>
    <w:basedOn w:val="1"/>
    <w:qFormat/>
    <w:uiPriority w:val="0"/>
    <w:pPr>
      <w:widowControl/>
      <w:spacing w:before="100" w:beforeAutospacing="1" w:after="100" w:afterAutospacing="1"/>
      <w:jc w:val="left"/>
    </w:pPr>
    <w:rPr>
      <w:rFonts w:ascii="宋体" w:hAnsi="宋体" w:cs="宋体"/>
      <w:b/>
      <w:bCs/>
      <w:kern w:val="0"/>
      <w:sz w:val="24"/>
      <w:szCs w:val="24"/>
    </w:rPr>
  </w:style>
  <w:style w:type="paragraph" w:customStyle="1" w:styleId="51">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52">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3">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4">
    <w:name w:val="xl12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5">
    <w:name w:val="xl126"/>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6">
    <w:name w:val="xl12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57">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59">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6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6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63">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6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6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4"/>
      <w:szCs w:val="24"/>
    </w:rPr>
  </w:style>
  <w:style w:type="paragraph" w:customStyle="1" w:styleId="6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4"/>
      <w:szCs w:val="24"/>
    </w:rPr>
  </w:style>
  <w:style w:type="paragraph" w:customStyle="1" w:styleId="67">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8">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6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kern w:val="0"/>
      <w:sz w:val="24"/>
      <w:szCs w:val="24"/>
    </w:rPr>
  </w:style>
  <w:style w:type="paragraph" w:customStyle="1" w:styleId="7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72">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color w:val="000000"/>
      <w:kern w:val="0"/>
      <w:sz w:val="24"/>
      <w:szCs w:val="24"/>
    </w:rPr>
  </w:style>
  <w:style w:type="paragraph" w:customStyle="1" w:styleId="7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color w:val="000000"/>
      <w:kern w:val="0"/>
      <w:sz w:val="24"/>
      <w:szCs w:val="24"/>
    </w:rPr>
  </w:style>
  <w:style w:type="paragraph" w:customStyle="1" w:styleId="75">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7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b/>
      <w:bCs/>
      <w:kern w:val="0"/>
      <w:sz w:val="24"/>
      <w:szCs w:val="24"/>
    </w:rPr>
  </w:style>
  <w:style w:type="character" w:customStyle="1" w:styleId="77">
    <w:name w:val="标题 2 Char1"/>
    <w:semiHidden/>
    <w:qFormat/>
    <w:uiPriority w:val="9"/>
    <w:rPr>
      <w:rFonts w:ascii="Cambria" w:hAnsi="Cambria" w:eastAsia="宋体" w:cs="Times New Roman"/>
      <w:b/>
      <w:bCs/>
      <w:kern w:val="2"/>
      <w:sz w:val="32"/>
      <w:szCs w:val="32"/>
    </w:rPr>
  </w:style>
  <w:style w:type="character" w:customStyle="1" w:styleId="78">
    <w:name w:val="标题 4 Char1"/>
    <w:semiHidden/>
    <w:qFormat/>
    <w:uiPriority w:val="9"/>
    <w:rPr>
      <w:rFonts w:ascii="Cambria" w:hAnsi="Cambria" w:eastAsia="宋体" w:cs="Times New Roman"/>
      <w:b/>
      <w:bCs/>
      <w:kern w:val="2"/>
      <w:sz w:val="28"/>
      <w:szCs w:val="28"/>
    </w:rPr>
  </w:style>
  <w:style w:type="character" w:customStyle="1" w:styleId="79">
    <w:name w:val="标题 Char1"/>
    <w:qFormat/>
    <w:uiPriority w:val="10"/>
    <w:rPr>
      <w:rFonts w:ascii="Cambria" w:hAnsi="Cambria" w:cs="Times New Roman"/>
      <w:b/>
      <w:bCs/>
      <w:kern w:val="2"/>
      <w:sz w:val="32"/>
      <w:szCs w:val="32"/>
    </w:rPr>
  </w:style>
  <w:style w:type="character" w:customStyle="1" w:styleId="80">
    <w:name w:val="副标题 Char1"/>
    <w:qFormat/>
    <w:uiPriority w:val="11"/>
    <w:rPr>
      <w:rFonts w:ascii="Cambria" w:hAnsi="Cambria" w:cs="Times New Roman"/>
      <w:b/>
      <w:bCs/>
      <w:kern w:val="28"/>
      <w:sz w:val="32"/>
      <w:szCs w:val="32"/>
    </w:rPr>
  </w:style>
  <w:style w:type="paragraph" w:customStyle="1" w:styleId="81">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82">
    <w:name w:val="xl33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4">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5">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6">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7">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8">
    <w:name w:val="xl3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89">
    <w:name w:val="xl3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90">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9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92">
    <w:name w:val="xl3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93">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94">
    <w:name w:val="xl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000000"/>
      <w:kern w:val="0"/>
      <w:sz w:val="24"/>
      <w:szCs w:val="24"/>
    </w:rPr>
  </w:style>
  <w:style w:type="paragraph" w:customStyle="1" w:styleId="9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96">
    <w:name w:val="xl3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97">
    <w:name w:val="xl3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98">
    <w:name w:val="xl3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9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0">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101">
    <w:name w:val="font51"/>
    <w:basedOn w:val="21"/>
    <w:qFormat/>
    <w:uiPriority w:val="0"/>
    <w:rPr>
      <w:rFonts w:hint="eastAsia" w:ascii="宋体" w:hAnsi="宋体" w:eastAsia="宋体" w:cs="宋体"/>
      <w:b/>
      <w:color w:val="000000"/>
      <w:sz w:val="22"/>
      <w:szCs w:val="22"/>
      <w:u w:val="none"/>
    </w:rPr>
  </w:style>
  <w:style w:type="character" w:customStyle="1" w:styleId="102">
    <w:name w:val="font01"/>
    <w:basedOn w:val="21"/>
    <w:qFormat/>
    <w:uiPriority w:val="0"/>
    <w:rPr>
      <w:rFonts w:hint="eastAsia" w:ascii="宋体" w:hAnsi="宋体" w:eastAsia="宋体" w:cs="宋体"/>
      <w:b/>
      <w:color w:val="000000"/>
      <w:sz w:val="20"/>
      <w:szCs w:val="20"/>
      <w:u w:val="none"/>
    </w:rPr>
  </w:style>
  <w:style w:type="character" w:customStyle="1" w:styleId="103">
    <w:name w:val="font91"/>
    <w:basedOn w:val="21"/>
    <w:qFormat/>
    <w:uiPriority w:val="0"/>
    <w:rPr>
      <w:rFonts w:hint="eastAsia" w:ascii="宋体" w:hAnsi="宋体" w:eastAsia="宋体" w:cs="宋体"/>
      <w:b/>
      <w:color w:val="000000"/>
      <w:sz w:val="24"/>
      <w:szCs w:val="24"/>
      <w:u w:val="none"/>
    </w:rPr>
  </w:style>
  <w:style w:type="character" w:customStyle="1" w:styleId="104">
    <w:name w:val="font21"/>
    <w:basedOn w:val="21"/>
    <w:qFormat/>
    <w:uiPriority w:val="0"/>
    <w:rPr>
      <w:rFonts w:hint="default" w:ascii="Times New Roman" w:hAnsi="Times New Roman" w:cs="Times New Roman"/>
      <w:b/>
      <w:color w:val="000000"/>
      <w:sz w:val="24"/>
      <w:szCs w:val="24"/>
      <w:u w:val="none"/>
    </w:rPr>
  </w:style>
  <w:style w:type="character" w:customStyle="1" w:styleId="105">
    <w:name w:val="font121"/>
    <w:basedOn w:val="21"/>
    <w:qFormat/>
    <w:uiPriority w:val="0"/>
    <w:rPr>
      <w:rFonts w:hint="default" w:ascii="Times New Roman" w:hAnsi="Times New Roman" w:cs="Times New Roman"/>
      <w:b/>
      <w:color w:val="000000"/>
      <w:sz w:val="24"/>
      <w:szCs w:val="24"/>
      <w:u w:val="none"/>
    </w:rPr>
  </w:style>
  <w:style w:type="character" w:customStyle="1" w:styleId="106">
    <w:name w:val="font61"/>
    <w:basedOn w:val="21"/>
    <w:qFormat/>
    <w:uiPriority w:val="0"/>
    <w:rPr>
      <w:rFonts w:hint="eastAsia" w:ascii="宋体" w:hAnsi="宋体" w:eastAsia="宋体" w:cs="宋体"/>
      <w:b/>
      <w:color w:val="000000"/>
      <w:sz w:val="22"/>
      <w:szCs w:val="22"/>
      <w:u w:val="none"/>
    </w:rPr>
  </w:style>
  <w:style w:type="character" w:customStyle="1" w:styleId="107">
    <w:name w:val="font41"/>
    <w:basedOn w:val="21"/>
    <w:qFormat/>
    <w:uiPriority w:val="0"/>
    <w:rPr>
      <w:rFonts w:hint="default" w:ascii="Times New Roman" w:hAnsi="Times New Roman" w:cs="Times New Roman"/>
      <w:b/>
      <w:color w:val="000000"/>
      <w:sz w:val="22"/>
      <w:szCs w:val="22"/>
      <w:u w:val="none"/>
    </w:rPr>
  </w:style>
  <w:style w:type="character" w:customStyle="1" w:styleId="108">
    <w:name w:val="font31"/>
    <w:basedOn w:val="21"/>
    <w:qFormat/>
    <w:uiPriority w:val="0"/>
    <w:rPr>
      <w:rFonts w:hint="eastAsia" w:ascii="宋体" w:hAnsi="宋体" w:eastAsia="宋体" w:cs="宋体"/>
      <w:b/>
      <w:color w:val="000000"/>
      <w:sz w:val="22"/>
      <w:szCs w:val="22"/>
      <w:u w:val="none"/>
    </w:rPr>
  </w:style>
  <w:style w:type="character" w:customStyle="1" w:styleId="109">
    <w:name w:val="font71"/>
    <w:basedOn w:val="21"/>
    <w:qFormat/>
    <w:uiPriority w:val="0"/>
    <w:rPr>
      <w:rFonts w:hint="default" w:ascii="Times New Roman" w:hAnsi="Times New Roman" w:cs="Times New Roman"/>
      <w:b/>
      <w:color w:val="000000"/>
      <w:sz w:val="22"/>
      <w:szCs w:val="22"/>
      <w:u w:val="none"/>
    </w:rPr>
  </w:style>
  <w:style w:type="character" w:customStyle="1" w:styleId="110">
    <w:name w:val="font81"/>
    <w:basedOn w:val="21"/>
    <w:qFormat/>
    <w:uiPriority w:val="0"/>
    <w:rPr>
      <w:rFonts w:hint="eastAsia" w:ascii="宋体" w:hAnsi="宋体" w:eastAsia="宋体" w:cs="宋体"/>
      <w:b/>
      <w:color w:val="000000"/>
      <w:sz w:val="20"/>
      <w:szCs w:val="20"/>
      <w:u w:val="none"/>
    </w:rPr>
  </w:style>
  <w:style w:type="paragraph" w:customStyle="1" w:styleId="111">
    <w:name w:val="修订2"/>
    <w:hidden/>
    <w:semiHidden/>
    <w:qFormat/>
    <w:uiPriority w:val="99"/>
    <w:rPr>
      <w:rFonts w:ascii="Calibri" w:hAnsi="Calibri" w:eastAsia="宋体" w:cs="Times New Roman"/>
      <w:kern w:val="2"/>
      <w:sz w:val="21"/>
      <w:szCs w:val="22"/>
      <w:lang w:val="en-US" w:eastAsia="zh-CN" w:bidi="ar-SA"/>
    </w:r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14">
    <w:name w:val="xl64"/>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4"/>
      <w:szCs w:val="24"/>
    </w:rPr>
  </w:style>
  <w:style w:type="paragraph" w:customStyle="1" w:styleId="117">
    <w:name w:val="xl6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18">
    <w:name w:val="xl68"/>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0"/>
      <w:szCs w:val="20"/>
    </w:rPr>
  </w:style>
  <w:style w:type="paragraph" w:customStyle="1" w:styleId="125">
    <w:name w:val="xl75"/>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ascii="Times New Roman" w:hAnsi="Times New Roman"/>
      <w:b/>
      <w:bCs/>
      <w:kern w:val="0"/>
      <w:sz w:val="20"/>
      <w:szCs w:val="20"/>
    </w:rPr>
  </w:style>
  <w:style w:type="paragraph" w:customStyle="1" w:styleId="1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127">
    <w:name w:val="xl77"/>
    <w:basedOn w:val="1"/>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400" w:firstLineChars="400"/>
      <w:jc w:val="left"/>
      <w:textAlignment w:val="center"/>
    </w:pPr>
    <w:rPr>
      <w:rFonts w:ascii="Times New Roman" w:hAnsi="Times New Roman"/>
      <w:kern w:val="0"/>
      <w:sz w:val="20"/>
      <w:szCs w:val="20"/>
    </w:rPr>
  </w:style>
  <w:style w:type="paragraph" w:customStyle="1" w:styleId="1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1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1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133">
    <w:name w:val="WPSOffice手动目录 1"/>
    <w:qFormat/>
    <w:uiPriority w:val="0"/>
    <w:rPr>
      <w:rFonts w:ascii="Times New Roman" w:hAnsi="Times New Roman" w:eastAsia="宋体" w:cs="Times New Roman"/>
      <w:lang w:val="en-US" w:eastAsia="zh-CN" w:bidi="ar-SA"/>
    </w:rPr>
  </w:style>
  <w:style w:type="paragraph" w:customStyle="1" w:styleId="1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35">
    <w:name w:val="fontstyle01"/>
    <w:basedOn w:val="21"/>
    <w:uiPriority w:val="0"/>
    <w:rPr>
      <w:rFonts w:ascii="仿宋_GB2312" w:hAnsi="仿宋_GB2312" w:eastAsia="仿宋_GB2312" w:cs="仿宋_GB2312"/>
      <w:color w:val="000000"/>
      <w:sz w:val="32"/>
      <w:szCs w:val="32"/>
    </w:rPr>
  </w:style>
  <w:style w:type="paragraph" w:customStyle="1" w:styleId="136">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3"/>
    <customShpInfo spid="_x0000_s103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56167-ED49-4016-A2AB-0D83DF17C6F1}">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中华人民共和国卫生部</Company>
  <Pages>1</Pages>
  <Words>8190</Words>
  <Characters>4313</Characters>
  <Lines>1</Lines>
  <Paragraphs>1</Paragraphs>
  <TotalTime>30</TotalTime>
  <ScaleCrop>false</ScaleCrop>
  <LinksUpToDate>false</LinksUpToDate>
  <CharactersWithSpaces>12479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2019-03-27T17:58:00Z</dcterms:created>
  <dc:creator>技术服务,综合部门,综合处核稿</dc:creator>
  <cp:lastModifiedBy>佟凤</cp:lastModifiedBy>
  <cp:lastPrinted>2023-08-17T06:58:00Z</cp:lastPrinted>
  <dcterms:modified xsi:type="dcterms:W3CDTF">2023-08-21T07:52:51Z</dcterms:modified>
  <dc:title>国家卫生计生委请示报告专用纸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CEC1DEED2E074DD5AF395A227227113C</vt:lpwstr>
  </property>
</Properties>
</file>